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004B80"/>
            <w:tcMar>
              <w:top w:w="80" w:type="dxa"/>
              <w:bottom w:w="80" w:type="dxa"/>
              <w:left w:w="120" w:type="dxa"/>
              <w:right w:w="120" w:type="dxa"/>
            </w:tcMar>
          </w:tcPr>
          <w:p>
            <w:pPr>
              <w:spacing w:after="0"/>
            </w:pPr>
            <w:r>
              <w:rPr>
                <w:rFonts w:ascii="Arial" w:hAnsi="Arial"/>
                <w:b/>
                <w:color w:val="FFFFFF"/>
                <w:sz w:val="19"/>
              </w:rPr>
              <w:t>INSTITUTION:</w:t>
            </w:r>
          </w:p>
        </w:tc>
        <w:tc>
          <w:tcPr>
            <w:tcW w:type="dxa" w:w="6192"/>
            <w:shd w:fill="E8F2FA"/>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MODULES ASSESSED:</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t>KM-05 (Delivering Human Resource Management Services, NQF L6, 7 Credits)</w:t>
              <w:br/>
              <w:t>PM-05 (Deliver HRM Services, NQF L6, 10 Credits)</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ASSESSMENT TYPE:</w:t>
            </w:r>
          </w:p>
        </w:tc>
        <w:tc>
          <w:tcPr>
            <w:tcW w:type="dxa" w:w="6192"/>
            <w:shd w:fill="E8F2FA"/>
            <w:tcMar>
              <w:top w:w="80" w:type="dxa"/>
              <w:bottom w:w="80" w:type="dxa"/>
              <w:left w:w="120" w:type="dxa"/>
              <w:right w:w="120" w:type="dxa"/>
            </w:tcMar>
          </w:tcPr>
          <w:p>
            <w:pPr>
              <w:spacing w:after="0"/>
            </w:pPr>
            <w:r>
              <w:rPr>
                <w:rFonts w:ascii="Calibri" w:hAnsi="Calibri"/>
                <w:b/>
                <w:color w:val="222222"/>
                <w:sz w:val="20"/>
              </w:rPr>
              <w:t>Internal Summative Assessment Script (SU 5 - VERSION 2)</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TOTAL MARKS &amp; TIME:</w:t>
            </w:r>
          </w:p>
        </w:tc>
        <w:tc>
          <w:tcPr>
            <w:tcW w:type="dxa" w:w="6192"/>
            <w:shd w:fill="E8F2FA"/>
            <w:tcMar>
              <w:top w:w="80" w:type="dxa"/>
              <w:bottom w:w="80" w:type="dxa"/>
              <w:left w:w="120" w:type="dxa"/>
              <w:right w:w="120" w:type="dxa"/>
            </w:tcMar>
          </w:tcPr>
          <w:p>
            <w:pPr>
              <w:spacing w:after="0"/>
            </w:pPr>
            <w:r>
              <w:rPr>
                <w:rFonts w:ascii="Calibri" w:hAnsi="Calibri"/>
                <w:b/>
                <w:color w:val="222222"/>
                <w:sz w:val="20"/>
              </w:rPr>
              <w:t>100 Marks | Pass Mark: 75% (75 Marks) | Duration: 2.5 Hours</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LEARNER NAME &amp; ID:</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r>
          </w:p>
        </w:tc>
      </w:tr>
    </w:tbl>
    <w:p>
      <w:pPr>
        <w:spacing w:after="200"/>
      </w:pPr>
    </w:p>
    <w:p>
      <w:pPr>
        <w:keepNext/>
        <w:spacing w:before="320" w:after="120"/>
      </w:pPr>
      <w:r>
        <w:rPr>
          <w:rFonts w:ascii="Arial" w:hAnsi="Arial"/>
          <w:b/>
          <w:color w:val="004B80"/>
          <w:sz w:val="32"/>
        </w:rPr>
        <w:t>INSTRUCTIONS TO LEARNERS (VERSION 2)</w:t>
      </w:r>
    </w:p>
    <w:p>
      <w:pPr>
        <w:spacing w:after="60" w:line="276" w:lineRule="auto"/>
      </w:pPr>
      <w:r>
        <w:rPr>
          <w:rFonts w:ascii="Calibri" w:hAnsi="Calibri"/>
          <w:b w:val="0"/>
          <w:i w:val="0"/>
          <w:color w:val="222222"/>
          <w:sz w:val="22"/>
        </w:rPr>
        <w:t>1. Answer ALL questions in Section A, Section B, Section C, and Section D.</w:t>
      </w:r>
    </w:p>
    <w:p>
      <w:pPr>
        <w:spacing w:after="60" w:line="276" w:lineRule="auto"/>
      </w:pPr>
      <w:r>
        <w:rPr>
          <w:rFonts w:ascii="Calibri" w:hAnsi="Calibri"/>
          <w:b w:val="0"/>
          <w:i w:val="0"/>
          <w:color w:val="222222"/>
          <w:sz w:val="22"/>
        </w:rPr>
        <w:t>2. Structural Rearrangement (Version 2): Note the scrambled section sequence in Version 2. The Case Study Scenario is presented FIRST as Section A (Part A1 Short Scenario Questions = 15 Marks, Part A2 Strategic Long Question = 50 Marks; Total = 65 Marks). This is followed by Section B (15 Scrambled Multiple Choice Questions = 15 Marks), and Section C (5 Scrambled True/False Questions with Justification = 20 Marks). Total = 100 Marks.</w:t>
      </w:r>
    </w:p>
    <w:p>
      <w:pPr>
        <w:spacing w:after="60" w:line="276" w:lineRule="auto"/>
      </w:pPr>
      <w:r>
        <w:rPr>
          <w:rFonts w:ascii="Calibri" w:hAnsi="Calibri"/>
          <w:b w:val="0"/>
          <w:i w:val="0"/>
          <w:color w:val="222222"/>
          <w:sz w:val="22"/>
        </w:rPr>
        <w:t>3. Read the Case Study Scenario in Section A thoroughly before answering the scenario questions.</w:t>
      </w:r>
    </w:p>
    <w:p>
      <w:pPr>
        <w:spacing w:after="60" w:line="276" w:lineRule="auto"/>
      </w:pPr>
      <w:r>
        <w:rPr>
          <w:rFonts w:ascii="Calibri" w:hAnsi="Calibri"/>
          <w:b w:val="0"/>
          <w:i w:val="0"/>
          <w:color w:val="222222"/>
          <w:sz w:val="22"/>
        </w:rPr>
        <w:t>4. Highlighting professional practice standards (SABPP HR Service Delivery Standards, SHRM HR Competency Model, ISO 30400 series) and legal/ethical compliance (POPIA, SLA Contract Law, Data Ethics) is essential for full marks.</w:t>
      </w:r>
    </w:p>
    <w:p>
      <w:pPr>
        <w:spacing w:after="60" w:line="276" w:lineRule="auto"/>
      </w:pPr>
      <w:r>
        <w:rPr>
          <w:rFonts w:ascii="Calibri" w:hAnsi="Calibri"/>
          <w:b w:val="0"/>
          <w:i w:val="0"/>
          <w:color w:val="222222"/>
          <w:sz w:val="22"/>
        </w:rPr>
        <w:t>5. The pass mark for this internal summative assessment script is strictly 75% (75/100 Marks).</w:t>
      </w:r>
    </w:p>
    <w:p>
      <w:pPr>
        <w:spacing w:after="60" w:line="276" w:lineRule="auto"/>
      </w:pPr>
      <w:r>
        <w:rPr>
          <w:rFonts w:ascii="Calibri" w:hAnsi="Calibri"/>
          <w:b w:val="0"/>
          <w:i w:val="0"/>
          <w:color w:val="222222"/>
          <w:sz w:val="22"/>
        </w:rPr>
        <w:t>6. Write legibly and present your answers in a clear, professional business format.</w:t>
      </w:r>
    </w:p>
    <w:p>
      <w:pPr>
        <w:spacing w:after="200"/>
      </w:pPr>
    </w:p>
    <w:p>
      <w:pPr>
        <w:keepNext/>
        <w:spacing w:before="320" w:after="120"/>
      </w:pPr>
      <w:r>
        <w:rPr>
          <w:rFonts w:ascii="Arial" w:hAnsi="Arial"/>
          <w:b/>
          <w:color w:val="004B80"/>
          <w:sz w:val="32"/>
        </w:rPr>
        <w:t>SECTION A: CASE STUDY SCENARIO &amp; SCENARIO QUESTIONS (65 MARKS)</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Pr>
          <w:p>
            <w:pPr>
              <w:spacing w:after="80"/>
            </w:pPr>
            <w:r>
              <w:rPr>
                <w:rFonts w:ascii="Arial" w:hAnsi="Arial"/>
                <w:b/>
                <w:color w:val="004B80"/>
                <w:sz w:val="22"/>
              </w:rPr>
              <w:t>ORGANISATIONAL CONTEXT: APEX LOGISTICS (JOHANNESBURG, GAUTENG)</w:t>
              <w:br/>
            </w:r>
          </w:p>
          <w:p>
            <w:pPr>
              <w:spacing w:after="0" w:line="276" w:lineRule="auto"/>
            </w:pPr>
            <w:r>
              <w:rPr>
                <w:rFonts w:ascii="Calibri" w:hAnsi="Calibri"/>
                <w:sz w:val="20"/>
              </w:rPr>
              <w:t>Background: Apex Logistics is a nationwide supply chain and freight distribution enterprise operating a 120-person Customer Support Division (CSD) in Johannesburg. The division comprises 120 Customer Support Consultants organized into 4 operational teams (30 consultants per team) managed by Team Leaders A, B, C, and D, overseen by the CSD Line Manager.</w:t>
              <w:br/>
              <w:br/>
              <w:t>Operational Crisis &amp; Performance Collapse (Q1–Q3 Data):</w:t>
              <w:br/>
              <w:t>• High Turnover: Annual turnover in CSD reached 28% (Industry benchmark is 11%).</w:t>
              <w:br/>
              <w:t>• Soaring Absenteeism: Average sick leave rose to 4.2 days/month per employee (up from 1.1 days).</w:t>
              <w:br/>
              <w:t>• Collapsing Client Metrics: Customer Satisfaction (CSAT) dropped from 88% to 61%; First Call Resolution (FCR) plummeted from 82% to 54%.</w:t>
              <w:br/>
              <w:br/>
              <w:t>Diagnostic &amp; Stakeholder Discovery Findings:</w:t>
              <w:br/>
              <w:t>1. Exit Survey Analysis (25 Exits): 72% cited zero career progression pathways; 64% cited inconsistent/punitive management; 56% cited extreme burnout from unachievable quotas; 48% cited software system lags.</w:t>
              <w:br/>
              <w:t>2. Software Upgrade Disruption: Six months ago, an uncoordinated HR technology update added 4 extra screens per call, doubling call handle times while daily quotas remained fixed at 80 tickets/consultant.</w:t>
              <w:br/>
              <w:t>3. Leadership Disparities: Team Leaders C and D engage in public shaming on team chats when quotas are missed, whereas Team Leaders A and B run supportive teams with 50% lower turnover.</w:t>
              <w:br/>
              <w:t>4. Executive Mandate: Executive management (COO &amp; Finance Director) has tasked the HR Officer with conducting a root-cause diagnosis, designing a 3-tier recovery intervention, and presenting a formal Executive HR Implementation Strategy.</w:t>
            </w:r>
          </w:p>
        </w:tc>
      </w:tr>
    </w:tbl>
    <w:p>
      <w:pPr>
        <w:spacing w:after="200"/>
      </w:pPr>
    </w:p>
    <w:p>
      <w:pPr>
        <w:keepNext/>
        <w:spacing w:before="240" w:after="80"/>
      </w:pPr>
      <w:r>
        <w:rPr>
          <w:rFonts w:ascii="Arial" w:hAnsi="Arial"/>
          <w:b/>
          <w:color w:val="0066B3"/>
          <w:sz w:val="26"/>
        </w:rPr>
        <w:t>PART A1: SCENARIO-BASED SHORT QUESTIONS (15 MARKS)</w:t>
      </w:r>
    </w:p>
    <w:p>
      <w:pPr>
        <w:spacing w:after="160" w:line="276" w:lineRule="auto"/>
      </w:pPr>
      <w:r>
        <w:rPr>
          <w:rFonts w:ascii="Calibri" w:hAnsi="Calibri"/>
          <w:b w:val="0"/>
          <w:i/>
          <w:color w:val="222222"/>
          <w:sz w:val="22"/>
        </w:rPr>
        <w:t>Instructions: Answer the following practical short questions based on the Apex Logistics scenario.</w:t>
      </w:r>
    </w:p>
    <w:p>
      <w:pPr>
        <w:keepNext/>
        <w:spacing w:after="40"/>
      </w:pPr>
      <w:r>
        <w:rPr>
          <w:rFonts w:ascii="Arial" w:hAnsi="Arial"/>
          <w:b/>
          <w:sz w:val="21"/>
        </w:rPr>
        <w:t xml:space="preserve">Question 1: Root Cause Analysis (5 Whys Technique) </w:t>
      </w:r>
      <w:r>
        <w:rPr>
          <w:b/>
          <w:color w:val="0066B3"/>
        </w:rPr>
        <w:t>[5 Marks]</w:t>
      </w:r>
    </w:p>
    <w:p>
      <w:pPr>
        <w:spacing w:after="120"/>
      </w:pPr>
      <w:r>
        <w:rPr>
          <w:rFonts w:ascii="Calibri" w:hAnsi="Calibri"/>
          <w:sz w:val="20"/>
        </w:rPr>
        <w:t>Apply the '5 Whys' problem-solving technique (PS0105) to drill down from the surface symptom (28% turnover &amp; 61% CSAT) to the underlying systemic root cause at Apex Logistics CSD. Detail each of the 5 causal steps clearly.</w:t>
      </w:r>
    </w:p>
    <w:p>
      <w:pPr>
        <w:keepNext/>
        <w:spacing w:after="40"/>
      </w:pPr>
      <w:r>
        <w:rPr>
          <w:rFonts w:ascii="Arial" w:hAnsi="Arial"/>
          <w:b/>
          <w:sz w:val="21"/>
        </w:rPr>
        <w:t xml:space="preserve">Question 2: HR Technology &amp; SLA Contract Management </w:t>
      </w:r>
      <w:r>
        <w:rPr>
          <w:b/>
          <w:color w:val="0066B3"/>
        </w:rPr>
        <w:t>[5 Marks]</w:t>
      </w:r>
    </w:p>
    <w:p>
      <w:pPr>
        <w:spacing w:after="120"/>
      </w:pPr>
      <w:r>
        <w:rPr>
          <w:rFonts w:ascii="Calibri" w:hAnsi="Calibri"/>
          <w:sz w:val="20"/>
        </w:rPr>
        <w:t>The software upgrade doubled call handle times and created operational friction. Outline THREE key SLA contract management steps (KT0106) the HR Officer must take with the IT software vendor to restore system efficiency and align software workflows with realistic work quotas.</w:t>
      </w:r>
    </w:p>
    <w:p>
      <w:pPr>
        <w:keepNext/>
        <w:spacing w:after="40"/>
      </w:pPr>
      <w:r>
        <w:rPr>
          <w:rFonts w:ascii="Arial" w:hAnsi="Arial"/>
          <w:b/>
          <w:sz w:val="21"/>
        </w:rPr>
        <w:t xml:space="preserve">Question 3: Client Engagement &amp; Stakeholder Empathy </w:t>
      </w:r>
      <w:r>
        <w:rPr>
          <w:b/>
          <w:color w:val="0066B3"/>
        </w:rPr>
        <w:t>[5 Marks]</w:t>
      </w:r>
    </w:p>
    <w:p>
      <w:pPr>
        <w:spacing w:after="120"/>
      </w:pPr>
      <w:r>
        <w:rPr>
          <w:rFonts w:ascii="Calibri" w:hAnsi="Calibri"/>
          <w:sz w:val="20"/>
        </w:rPr>
        <w:t>Differentiate between the CSD Line Manager's initial request ('mandatory 1-day conflict workshop') and the actual systemic needs discovered by HR. Explain how the HR Officer demonstrates client focus (AK0101), active listening (AK0102), and empathy (AK0107) while guiding management toward a comprehensive solution.</w:t>
      </w:r>
    </w:p>
    <w:p>
      <w:pPr>
        <w:spacing w:after="200"/>
      </w:pPr>
    </w:p>
    <w:p>
      <w:pPr>
        <w:keepNext/>
        <w:spacing w:before="240" w:after="80"/>
      </w:pPr>
      <w:r>
        <w:rPr>
          <w:rFonts w:ascii="Arial" w:hAnsi="Arial"/>
          <w:b/>
          <w:color w:val="0066B3"/>
          <w:sz w:val="26"/>
        </w:rPr>
        <w:t>PART A2: COMPREHENSIVE STRATEGIC LONG QUESTION (50 MARKS)</w:t>
      </w:r>
    </w:p>
    <w:p>
      <w:pPr>
        <w:spacing w:after="160" w:line="276" w:lineRule="auto"/>
      </w:pPr>
      <w:r>
        <w:rPr>
          <w:rFonts w:ascii="Calibri" w:hAnsi="Calibri"/>
          <w:b w:val="0"/>
          <w:i/>
          <w:color w:val="222222"/>
          <w:sz w:val="22"/>
        </w:rPr>
        <w:t>Instructions: Develop a comprehensive, formal Executive HR Report and Change Management Strategy (PS0101, PS0102) for COO, Finance Director, CSD Line Manager, and Union Representatives. Your response must address all four core sub-sections thoroughly, aligning recommendations with SABPP HR Standards, SHRM Competencies, POPIA, and sound HR service delivery theory.</w:t>
      </w:r>
    </w:p>
    <w:p>
      <w:pPr>
        <w:keepNext/>
        <w:spacing w:before="160" w:after="40"/>
      </w:pPr>
      <w:r>
        <w:rPr>
          <w:rFonts w:ascii="Arial" w:hAnsi="Arial"/>
          <w:b/>
          <w:sz w:val="22"/>
        </w:rPr>
        <w:t xml:space="preserve">SUB-SECTION A2.1: OPERATIONAL DIAGNOSTIC &amp; 3-TIER RECOVERY FRAMEWORK </w:t>
      </w:r>
      <w:r>
        <w:rPr>
          <w:b/>
          <w:color w:val="0066B3"/>
        </w:rPr>
        <w:t>[13 Marks]</w:t>
      </w:r>
    </w:p>
    <w:p>
      <w:pPr>
        <w:spacing w:after="160"/>
      </w:pPr>
      <w:r>
        <w:rPr>
          <w:rFonts w:ascii="Calibri" w:hAnsi="Calibri"/>
          <w:sz w:val="20"/>
        </w:rPr>
        <w:t>Formulate an Executive HR Report section analyzing the CSD operational metrics and detailing the proposed solution.</w:t>
        <w:br/>
        <w:t>• Quantitative variance analysis table comparing baseline targets vs Q3 metrics (Turnover, Absenteeism, CSAT, FCR).</w:t>
        <w:br/>
        <w:t>• Qualitative synthesis of exit interview and focus group findings across the 4 consultant teams.</w:t>
        <w:br/>
        <w:t>• Detailed 3-Tier Recovery Framework: Tier 1 (Workload &amp; Systems Optimization), Tier 2 (Leadership Capability Building for Team Leaders C/D), and Tier 3 (Career Pathing &amp; Retention Framework).</w:t>
        <w:br/>
        <w:t>• Financial justification demonstrating turnover cost reduction and ROI for executive sign-off.</w:t>
      </w:r>
    </w:p>
    <w:p>
      <w:pPr>
        <w:keepNext/>
        <w:spacing w:before="160" w:after="40"/>
      </w:pPr>
      <w:r>
        <w:rPr>
          <w:rFonts w:ascii="Arial" w:hAnsi="Arial"/>
          <w:b/>
          <w:sz w:val="22"/>
        </w:rPr>
        <w:t xml:space="preserve">SUB-SECTION A2.2: CHANGE MANAGEMENT, KOTTER'S MODEL &amp; STAKEHOLDER ENGAGEMENT </w:t>
      </w:r>
      <w:r>
        <w:rPr>
          <w:b/>
          <w:color w:val="0066B3"/>
        </w:rPr>
        <w:t>[13 Marks]</w:t>
      </w:r>
    </w:p>
    <w:p>
      <w:pPr>
        <w:spacing w:after="160"/>
      </w:pPr>
      <w:r>
        <w:rPr>
          <w:rFonts w:ascii="Calibri" w:hAnsi="Calibri"/>
          <w:sz w:val="20"/>
        </w:rPr>
        <w:t>Design a comprehensive Change Management &amp; Communication Plan to execute the recovery strategy across CSD.</w:t>
        <w:br/>
        <w:t>• Operationalising Kotter's 8-Step Change Framework to transition CSD smoothly to the new working model.</w:t>
        <w:br/>
        <w:t>• Tailored stakeholder communication matrix for executive leadership, line managers, team leaders, and union shop stewards.</w:t>
        <w:br/>
        <w:t>• Proactive risk mitigation strategy (AK0108) to address employee skepticism, public shaming, and burnout.</w:t>
        <w:br/>
        <w:t>• Communication channels (Town Halls, weekly Q&amp;A briefs) ensuring transparency (AK0104) and trust.</w:t>
      </w:r>
    </w:p>
    <w:p>
      <w:pPr>
        <w:keepNext/>
        <w:spacing w:before="160" w:after="40"/>
      </w:pPr>
      <w:r>
        <w:rPr>
          <w:rFonts w:ascii="Arial" w:hAnsi="Arial"/>
          <w:b/>
          <w:sz w:val="22"/>
        </w:rPr>
        <w:t xml:space="preserve">SUB-SECTION A2.3: ETHICAL PEOPLE ANALYTICS, POPIA GOVERNANCE &amp; HR SERVICE MODEL </w:t>
      </w:r>
      <w:r>
        <w:rPr>
          <w:b/>
          <w:color w:val="0066B3"/>
        </w:rPr>
        <w:t>[12 Marks]</w:t>
      </w:r>
    </w:p>
    <w:p>
      <w:pPr>
        <w:spacing w:after="160"/>
      </w:pPr>
      <w:r>
        <w:rPr>
          <w:rFonts w:ascii="Calibri" w:hAnsi="Calibri"/>
          <w:sz w:val="20"/>
        </w:rPr>
        <w:t>Establish a technology, analytics, and governance framework for HR service delivery in CSD.</w:t>
        <w:br/>
        <w:t>• Selecting and justifying the most appropriate HR Service Delivery Model (e.g., Shared Services / Multi-Tiered) for Apex Logistics.</w:t>
        <w:br/>
        <w:t>• Ethical People Analytics framework ensuring POPIA compliance, data minimization, and algorithmic fairness.</w:t>
        <w:br/>
        <w:t>• HR Service Delivery Charter establishing response standards, query escalation channels, and SLA benchmarks for CSD staff.</w:t>
        <w:br/>
        <w:t>• Guidelines for data security and confidential handling of employee pulse survey feedback.</w:t>
      </w:r>
    </w:p>
    <w:p>
      <w:pPr>
        <w:keepNext/>
        <w:spacing w:before="160" w:after="40"/>
      </w:pPr>
      <w:r>
        <w:rPr>
          <w:rFonts w:ascii="Arial" w:hAnsi="Arial"/>
          <w:b/>
          <w:sz w:val="22"/>
        </w:rPr>
        <w:t xml:space="preserve">SUB-SECTION A2.4: CONTINUOUS IMPROVEMENT, METRICS &amp; EXECUTIVE DECISION-MAKING PRESENTATION </w:t>
      </w:r>
      <w:r>
        <w:rPr>
          <w:b/>
          <w:color w:val="0066B3"/>
        </w:rPr>
        <w:t>[12 Marks]</w:t>
      </w:r>
    </w:p>
    <w:p>
      <w:pPr>
        <w:spacing w:after="160"/>
      </w:pPr>
      <w:r>
        <w:rPr>
          <w:rFonts w:ascii="Calibri" w:hAnsi="Calibri"/>
          <w:sz w:val="20"/>
        </w:rPr>
        <w:t>Establish a continuous quality improvement and executive reporting mechanism (PS0102, AK0106).</w:t>
        <w:br/>
        <w:t>• Defining 5 core HR Service Delivery KPIs (e.g., Turnover Reduction Rate, CSAT Recovery Index, Absenteeism Normalization, Coaching Completion Rate, Query Resolution SLA) with targets.</w:t>
        <w:br/>
        <w:t>• Bi-weekly pulse survey feedback loop and monthly SLA review protocol with the CSD Line Manager.</w:t>
        <w:br/>
        <w:t>• Executive Presentation Deck structure tailored for decision-makers (COO, Finance, Union) addressing operational costs and well-being.</w:t>
        <w:br/>
        <w:t>• Actionable executive recommendation list for immediate sign-off.</w:t>
      </w:r>
    </w:p>
    <w:p>
      <w:pPr>
        <w:spacing w:after="200"/>
      </w:pPr>
    </w:p>
    <w:p>
      <w:pPr>
        <w:keepNext/>
        <w:spacing w:before="320" w:after="120"/>
      </w:pPr>
      <w:r>
        <w:rPr>
          <w:rFonts w:ascii="Arial" w:hAnsi="Arial"/>
          <w:b/>
          <w:color w:val="004B80"/>
          <w:sz w:val="32"/>
        </w:rPr>
        <w:t>SECTION B: MULTIPLE CHOICE QUESTIONS (15 MARKS)</w:t>
      </w:r>
    </w:p>
    <w:p>
      <w:pPr>
        <w:spacing w:after="160" w:line="276" w:lineRule="auto"/>
      </w:pPr>
      <w:r>
        <w:rPr>
          <w:rFonts w:ascii="Calibri" w:hAnsi="Calibri"/>
          <w:b w:val="0"/>
          <w:i/>
          <w:color w:val="222222"/>
          <w:sz w:val="22"/>
        </w:rPr>
        <w:t>Instructions: Select the SINGLE best answer for each question. Question order has been scrambled for Version 2. Each question carries 1 mark.</w:t>
      </w:r>
    </w:p>
    <w:p>
      <w:pPr>
        <w:keepNext/>
        <w:spacing w:after="60"/>
      </w:pPr>
      <w:r>
        <w:rPr>
          <w:rFonts w:ascii="Calibri" w:hAnsi="Calibri"/>
          <w:b/>
          <w:sz w:val="21"/>
        </w:rPr>
        <w:t>1. Which HR Service Delivery Model relies heavily on online portals, enabling employees to independently manage routine tasks like leave requests and profile updates?</w:t>
      </w:r>
    </w:p>
    <w:p>
      <w:pPr>
        <w:spacing w:after="40"/>
        <w:ind w:left="360"/>
      </w:pPr>
      <w:r>
        <w:rPr>
          <w:rFonts w:ascii="Calibri" w:hAnsi="Calibri"/>
          <w:sz w:val="20"/>
        </w:rPr>
        <w:t>A. Traditional Decentralized Model</w:t>
      </w:r>
    </w:p>
    <w:p>
      <w:pPr>
        <w:spacing w:after="40"/>
        <w:ind w:left="360"/>
      </w:pPr>
      <w:r>
        <w:rPr>
          <w:rFonts w:ascii="Calibri" w:hAnsi="Calibri"/>
          <w:sz w:val="20"/>
        </w:rPr>
        <w:t>B. Outsourced Model</w:t>
      </w:r>
    </w:p>
    <w:p>
      <w:pPr>
        <w:spacing w:after="40"/>
        <w:ind w:left="360"/>
      </w:pPr>
      <w:r>
        <w:rPr>
          <w:rFonts w:ascii="Calibri" w:hAnsi="Calibri"/>
          <w:sz w:val="20"/>
        </w:rPr>
        <w:t>C. Self-Service Model</w:t>
      </w:r>
    </w:p>
    <w:p>
      <w:pPr>
        <w:spacing w:after="40"/>
        <w:ind w:left="360"/>
      </w:pPr>
      <w:r>
        <w:rPr>
          <w:rFonts w:ascii="Calibri" w:hAnsi="Calibri"/>
          <w:sz w:val="20"/>
        </w:rPr>
        <w:t>D. Vendor-Managed Model</w:t>
      </w:r>
    </w:p>
    <w:p>
      <w:pPr>
        <w:keepNext/>
        <w:spacing w:after="60"/>
      </w:pPr>
      <w:r>
        <w:rPr>
          <w:rFonts w:ascii="Calibri" w:hAnsi="Calibri"/>
          <w:b/>
          <w:sz w:val="21"/>
        </w:rPr>
        <w:t>2. In Kotter's 8-Step Change Management Model, what is a crucial action during the initial phase of implementing a new HR technology platform?</w:t>
      </w:r>
    </w:p>
    <w:p>
      <w:pPr>
        <w:spacing w:after="40"/>
        <w:ind w:left="360"/>
      </w:pPr>
      <w:r>
        <w:rPr>
          <w:rFonts w:ascii="Calibri" w:hAnsi="Calibri"/>
          <w:sz w:val="20"/>
        </w:rPr>
        <w:t>A. Declaring victory before user adoption is measured</w:t>
      </w:r>
    </w:p>
    <w:p>
      <w:pPr>
        <w:spacing w:after="40"/>
        <w:ind w:left="360"/>
      </w:pPr>
      <w:r>
        <w:rPr>
          <w:rFonts w:ascii="Calibri" w:hAnsi="Calibri"/>
          <w:sz w:val="20"/>
        </w:rPr>
        <w:t>B. Establishing a sense of urgency and communicating the 'Why' behind the change</w:t>
      </w:r>
    </w:p>
    <w:p>
      <w:pPr>
        <w:spacing w:after="40"/>
        <w:ind w:left="360"/>
      </w:pPr>
      <w:r>
        <w:rPr>
          <w:rFonts w:ascii="Calibri" w:hAnsi="Calibri"/>
          <w:sz w:val="20"/>
        </w:rPr>
        <w:t>C. Punishing employees who ask questions</w:t>
      </w:r>
    </w:p>
    <w:p>
      <w:pPr>
        <w:spacing w:after="40"/>
        <w:ind w:left="360"/>
      </w:pPr>
      <w:r>
        <w:rPr>
          <w:rFonts w:ascii="Calibri" w:hAnsi="Calibri"/>
          <w:sz w:val="20"/>
        </w:rPr>
        <w:t>D. Disbanding the project steering committee</w:t>
      </w:r>
    </w:p>
    <w:p>
      <w:pPr>
        <w:keepNext/>
        <w:spacing w:after="60"/>
      </w:pPr>
      <w:r>
        <w:rPr>
          <w:rFonts w:ascii="Calibri" w:hAnsi="Calibri"/>
          <w:b/>
          <w:sz w:val="21"/>
        </w:rPr>
        <w:t>3. What document outlines the specific HR services provided, performance benchmarks, and expected resolution timelines for internal company clients?</w:t>
      </w:r>
    </w:p>
    <w:p>
      <w:pPr>
        <w:spacing w:after="40"/>
        <w:ind w:left="360"/>
      </w:pPr>
      <w:r>
        <w:rPr>
          <w:rFonts w:ascii="Calibri" w:hAnsi="Calibri"/>
          <w:sz w:val="20"/>
        </w:rPr>
        <w:t>A. HR Service Delivery Charter</w:t>
      </w:r>
    </w:p>
    <w:p>
      <w:pPr>
        <w:spacing w:after="40"/>
        <w:ind w:left="360"/>
      </w:pPr>
      <w:r>
        <w:rPr>
          <w:rFonts w:ascii="Calibri" w:hAnsi="Calibri"/>
          <w:sz w:val="20"/>
        </w:rPr>
        <w:t>B. Basic Conditions of Employment Act</w:t>
      </w:r>
    </w:p>
    <w:p>
      <w:pPr>
        <w:spacing w:after="40"/>
        <w:ind w:left="360"/>
      </w:pPr>
      <w:r>
        <w:rPr>
          <w:rFonts w:ascii="Calibri" w:hAnsi="Calibri"/>
          <w:sz w:val="20"/>
        </w:rPr>
        <w:t>C. Disciplinary Code</w:t>
      </w:r>
    </w:p>
    <w:p>
      <w:pPr>
        <w:spacing w:after="40"/>
        <w:ind w:left="360"/>
      </w:pPr>
      <w:r>
        <w:rPr>
          <w:rFonts w:ascii="Calibri" w:hAnsi="Calibri"/>
          <w:sz w:val="20"/>
        </w:rPr>
        <w:t>D. Workplace Skills Plan</w:t>
      </w:r>
    </w:p>
    <w:p>
      <w:pPr>
        <w:keepNext/>
        <w:spacing w:after="60"/>
      </w:pPr>
      <w:r>
        <w:rPr>
          <w:rFonts w:ascii="Calibri" w:hAnsi="Calibri"/>
          <w:b/>
          <w:sz w:val="21"/>
        </w:rPr>
        <w:t>4. In a Multi-Tiered HR Service Delivery Model, Tier 1 is primarily responsible for:</w:t>
      </w:r>
    </w:p>
    <w:p>
      <w:pPr>
        <w:spacing w:after="40"/>
        <w:ind w:left="360"/>
      </w:pPr>
      <w:r>
        <w:rPr>
          <w:rFonts w:ascii="Calibri" w:hAnsi="Calibri"/>
          <w:sz w:val="20"/>
        </w:rPr>
        <w:t>A. Operating a Shared Services Center to process basic high-volume employee inquiries and transactions</w:t>
      </w:r>
    </w:p>
    <w:p>
      <w:pPr>
        <w:spacing w:after="40"/>
        <w:ind w:left="360"/>
      </w:pPr>
      <w:r>
        <w:rPr>
          <w:rFonts w:ascii="Calibri" w:hAnsi="Calibri"/>
          <w:sz w:val="20"/>
        </w:rPr>
        <w:t>B. Providing strategic HR consulting to executive directors</w:t>
      </w:r>
    </w:p>
    <w:p>
      <w:pPr>
        <w:spacing w:after="40"/>
        <w:ind w:left="360"/>
      </w:pPr>
      <w:r>
        <w:rPr>
          <w:rFonts w:ascii="Calibri" w:hAnsi="Calibri"/>
          <w:sz w:val="20"/>
        </w:rPr>
        <w:t>C. Managing specialized Centers of Excellence for complex benefits and compliance</w:t>
      </w:r>
    </w:p>
    <w:p>
      <w:pPr>
        <w:spacing w:after="40"/>
        <w:ind w:left="360"/>
      </w:pPr>
      <w:r>
        <w:rPr>
          <w:rFonts w:ascii="Calibri" w:hAnsi="Calibri"/>
          <w:sz w:val="20"/>
        </w:rPr>
        <w:t>D. Negotiating collective bargaining agreements with trade unions</w:t>
      </w:r>
    </w:p>
    <w:p>
      <w:pPr>
        <w:keepNext/>
        <w:spacing w:after="60"/>
      </w:pPr>
      <w:r>
        <w:rPr>
          <w:rFonts w:ascii="Calibri" w:hAnsi="Calibri"/>
          <w:b/>
          <w:sz w:val="21"/>
        </w:rPr>
        <w:t>5. Ethical people analytics practice dictates that predictive algorithms used in talent decision-making must be regularly audited for:</w:t>
      </w:r>
    </w:p>
    <w:p>
      <w:pPr>
        <w:spacing w:after="40"/>
        <w:ind w:left="360"/>
      </w:pPr>
      <w:r>
        <w:rPr>
          <w:rFonts w:ascii="Calibri" w:hAnsi="Calibri"/>
          <w:sz w:val="20"/>
        </w:rPr>
        <w:t>A. Maximum processing speed only</w:t>
      </w:r>
    </w:p>
    <w:p>
      <w:pPr>
        <w:spacing w:after="40"/>
        <w:ind w:left="360"/>
      </w:pPr>
      <w:r>
        <w:rPr>
          <w:rFonts w:ascii="Calibri" w:hAnsi="Calibri"/>
          <w:sz w:val="20"/>
        </w:rPr>
        <w:t>B. Algorithmic bias and unfair discrimination</w:t>
      </w:r>
    </w:p>
    <w:p>
      <w:pPr>
        <w:spacing w:after="40"/>
        <w:ind w:left="360"/>
      </w:pPr>
      <w:r>
        <w:rPr>
          <w:rFonts w:ascii="Calibri" w:hAnsi="Calibri"/>
          <w:sz w:val="20"/>
        </w:rPr>
        <w:t>C. Marketing appeal</w:t>
      </w:r>
    </w:p>
    <w:p>
      <w:pPr>
        <w:spacing w:after="40"/>
        <w:ind w:left="360"/>
      </w:pPr>
      <w:r>
        <w:rPr>
          <w:rFonts w:ascii="Calibri" w:hAnsi="Calibri"/>
          <w:sz w:val="20"/>
        </w:rPr>
        <w:t>D. Complete elimination of human involvement</w:t>
      </w:r>
    </w:p>
    <w:p>
      <w:pPr>
        <w:keepNext/>
        <w:spacing w:after="60"/>
      </w:pPr>
      <w:r>
        <w:rPr>
          <w:rFonts w:ascii="Calibri" w:hAnsi="Calibri"/>
          <w:b/>
          <w:sz w:val="21"/>
        </w:rPr>
        <w:t>6. Under POPIA and professional ethics guidelines, 'Data Minimization' in People Analytics requires HR Officers to:</w:t>
      </w:r>
    </w:p>
    <w:p>
      <w:pPr>
        <w:spacing w:after="40"/>
        <w:ind w:left="360"/>
      </w:pPr>
      <w:r>
        <w:rPr>
          <w:rFonts w:ascii="Calibri" w:hAnsi="Calibri"/>
          <w:sz w:val="20"/>
        </w:rPr>
        <w:t>A. Delete all historical employee records after 30 days</w:t>
      </w:r>
    </w:p>
    <w:p>
      <w:pPr>
        <w:spacing w:after="40"/>
        <w:ind w:left="360"/>
      </w:pPr>
      <w:r>
        <w:rPr>
          <w:rFonts w:ascii="Calibri" w:hAnsi="Calibri"/>
          <w:sz w:val="20"/>
        </w:rPr>
        <w:t>B. Collect only the personal data that is strictly necessary for the specific analytics project</w:t>
      </w:r>
    </w:p>
    <w:p>
      <w:pPr>
        <w:spacing w:after="40"/>
        <w:ind w:left="360"/>
      </w:pPr>
      <w:r>
        <w:rPr>
          <w:rFonts w:ascii="Calibri" w:hAnsi="Calibri"/>
          <w:sz w:val="20"/>
        </w:rPr>
        <w:t>C. Share raw employee performance data publicly on company intranets</w:t>
      </w:r>
    </w:p>
    <w:p>
      <w:pPr>
        <w:spacing w:after="40"/>
        <w:ind w:left="360"/>
      </w:pPr>
      <w:r>
        <w:rPr>
          <w:rFonts w:ascii="Calibri" w:hAnsi="Calibri"/>
          <w:sz w:val="20"/>
        </w:rPr>
        <w:t>D. Bypass candidate consent during recruitment background checks</w:t>
      </w:r>
    </w:p>
    <w:p>
      <w:pPr>
        <w:keepNext/>
        <w:spacing w:after="60"/>
      </w:pPr>
      <w:r>
        <w:rPr>
          <w:rFonts w:ascii="Calibri" w:hAnsi="Calibri"/>
          <w:b/>
          <w:sz w:val="21"/>
        </w:rPr>
        <w:t>7. Which international standard provides guidelines for Human Resource Management - Quality of Hire metrics (ISO/TS 30411)?</w:t>
      </w:r>
    </w:p>
    <w:p>
      <w:pPr>
        <w:spacing w:after="40"/>
        <w:ind w:left="360"/>
      </w:pPr>
      <w:r>
        <w:rPr>
          <w:rFonts w:ascii="Calibri" w:hAnsi="Calibri"/>
          <w:sz w:val="20"/>
        </w:rPr>
        <w:t>A. ISO 9001</w:t>
      </w:r>
    </w:p>
    <w:p>
      <w:pPr>
        <w:spacing w:after="40"/>
        <w:ind w:left="360"/>
      </w:pPr>
      <w:r>
        <w:rPr>
          <w:rFonts w:ascii="Calibri" w:hAnsi="Calibri"/>
          <w:sz w:val="20"/>
        </w:rPr>
        <w:t>B. ISO 14001</w:t>
      </w:r>
    </w:p>
    <w:p>
      <w:pPr>
        <w:spacing w:after="40"/>
        <w:ind w:left="360"/>
      </w:pPr>
      <w:r>
        <w:rPr>
          <w:rFonts w:ascii="Calibri" w:hAnsi="Calibri"/>
          <w:sz w:val="20"/>
        </w:rPr>
        <w:t>C. ISO 30400 Series</w:t>
      </w:r>
    </w:p>
    <w:p>
      <w:pPr>
        <w:spacing w:after="40"/>
        <w:ind w:left="360"/>
      </w:pPr>
      <w:r>
        <w:rPr>
          <w:rFonts w:ascii="Calibri" w:hAnsi="Calibri"/>
          <w:sz w:val="20"/>
        </w:rPr>
        <w:t>D. ISO 45001</w:t>
      </w:r>
    </w:p>
    <w:p>
      <w:pPr>
        <w:keepNext/>
        <w:spacing w:after="60"/>
      </w:pPr>
      <w:r>
        <w:rPr>
          <w:rFonts w:ascii="Calibri" w:hAnsi="Calibri"/>
          <w:b/>
          <w:sz w:val="21"/>
        </w:rPr>
        <w:t>8. In HR contract management, a clause that outlines acceptable response times and system resolution metrics for technical glitches is part of the:</w:t>
      </w:r>
    </w:p>
    <w:p>
      <w:pPr>
        <w:spacing w:after="40"/>
        <w:ind w:left="360"/>
      </w:pPr>
      <w:r>
        <w:rPr>
          <w:rFonts w:ascii="Calibri" w:hAnsi="Calibri"/>
          <w:sz w:val="20"/>
        </w:rPr>
        <w:t>A. Non-Disclosure Agreement (NDA)</w:t>
      </w:r>
    </w:p>
    <w:p>
      <w:pPr>
        <w:spacing w:after="40"/>
        <w:ind w:left="360"/>
      </w:pPr>
      <w:r>
        <w:rPr>
          <w:rFonts w:ascii="Calibri" w:hAnsi="Calibri"/>
          <w:sz w:val="20"/>
        </w:rPr>
        <w:t>B. Service Level Agreement (SLA)</w:t>
      </w:r>
    </w:p>
    <w:p>
      <w:pPr>
        <w:spacing w:after="40"/>
        <w:ind w:left="360"/>
      </w:pPr>
      <w:r>
        <w:rPr>
          <w:rFonts w:ascii="Calibri" w:hAnsi="Calibri"/>
          <w:sz w:val="20"/>
        </w:rPr>
        <w:t>C. Employment Equity Plan</w:t>
      </w:r>
    </w:p>
    <w:p>
      <w:pPr>
        <w:spacing w:after="40"/>
        <w:ind w:left="360"/>
      </w:pPr>
      <w:r>
        <w:rPr>
          <w:rFonts w:ascii="Calibri" w:hAnsi="Calibri"/>
          <w:sz w:val="20"/>
        </w:rPr>
        <w:t>D. Memorandum of Incorporation</w:t>
      </w:r>
    </w:p>
    <w:p>
      <w:pPr>
        <w:keepNext/>
        <w:spacing w:after="60"/>
      </w:pPr>
      <w:r>
        <w:rPr>
          <w:rFonts w:ascii="Calibri" w:hAnsi="Calibri"/>
          <w:b/>
          <w:sz w:val="21"/>
        </w:rPr>
        <w:t>9. Which professional practice standard framework issued by the SABPP outlines 13 core elements covering the complete HR lifecycle in South Africa?</w:t>
      </w:r>
    </w:p>
    <w:p>
      <w:pPr>
        <w:spacing w:after="40"/>
        <w:ind w:left="360"/>
      </w:pPr>
      <w:r>
        <w:rPr>
          <w:rFonts w:ascii="Calibri" w:hAnsi="Calibri"/>
          <w:sz w:val="20"/>
        </w:rPr>
        <w:t>A. ISO 9001 Quality Management Framework</w:t>
      </w:r>
    </w:p>
    <w:p>
      <w:pPr>
        <w:spacing w:after="40"/>
        <w:ind w:left="360"/>
      </w:pPr>
      <w:r>
        <w:rPr>
          <w:rFonts w:ascii="Calibri" w:hAnsi="Calibri"/>
          <w:sz w:val="20"/>
        </w:rPr>
        <w:t>B. SABPP National HR Management Standard</w:t>
      </w:r>
    </w:p>
    <w:p>
      <w:pPr>
        <w:spacing w:after="40"/>
        <w:ind w:left="360"/>
      </w:pPr>
      <w:r>
        <w:rPr>
          <w:rFonts w:ascii="Calibri" w:hAnsi="Calibri"/>
          <w:sz w:val="20"/>
        </w:rPr>
        <w:t>C. King IV Code of Corporate Governance</w:t>
      </w:r>
    </w:p>
    <w:p>
      <w:pPr>
        <w:spacing w:after="40"/>
        <w:ind w:left="360"/>
      </w:pPr>
      <w:r>
        <w:rPr>
          <w:rFonts w:ascii="Calibri" w:hAnsi="Calibri"/>
          <w:sz w:val="20"/>
        </w:rPr>
        <w:t>D. SHRM Global HR Competency Model</w:t>
      </w:r>
    </w:p>
    <w:p>
      <w:pPr>
        <w:keepNext/>
        <w:spacing w:after="60"/>
      </w:pPr>
      <w:r>
        <w:rPr>
          <w:rFonts w:ascii="Calibri" w:hAnsi="Calibri"/>
          <w:b/>
          <w:sz w:val="21"/>
        </w:rPr>
        <w:t>10. When managing HR Technology Service Level Agreements (SLAs), what is the primary purpose of defining 'Uptime Guarantees'?</w:t>
      </w:r>
    </w:p>
    <w:p>
      <w:pPr>
        <w:spacing w:after="40"/>
        <w:ind w:left="360"/>
      </w:pPr>
      <w:r>
        <w:rPr>
          <w:rFonts w:ascii="Calibri" w:hAnsi="Calibri"/>
          <w:sz w:val="20"/>
        </w:rPr>
        <w:t>A. To limit the number of employees who can log into the system</w:t>
      </w:r>
    </w:p>
    <w:p>
      <w:pPr>
        <w:spacing w:after="40"/>
        <w:ind w:left="360"/>
      </w:pPr>
      <w:r>
        <w:rPr>
          <w:rFonts w:ascii="Calibri" w:hAnsi="Calibri"/>
          <w:sz w:val="20"/>
        </w:rPr>
        <w:t>B. To set measurable contractual standards for system availability and operational reliability</w:t>
      </w:r>
    </w:p>
    <w:p>
      <w:pPr>
        <w:spacing w:after="40"/>
        <w:ind w:left="360"/>
      </w:pPr>
      <w:r>
        <w:rPr>
          <w:rFonts w:ascii="Calibri" w:hAnsi="Calibri"/>
          <w:sz w:val="20"/>
        </w:rPr>
        <w:t>C. To calculate annual payroll tax deductions</w:t>
      </w:r>
    </w:p>
    <w:p>
      <w:pPr>
        <w:spacing w:after="40"/>
        <w:ind w:left="360"/>
      </w:pPr>
      <w:r>
        <w:rPr>
          <w:rFonts w:ascii="Calibri" w:hAnsi="Calibri"/>
          <w:sz w:val="20"/>
        </w:rPr>
        <w:t>D. To automatically conduct exit interviews</w:t>
      </w:r>
    </w:p>
    <w:p>
      <w:pPr>
        <w:keepNext/>
        <w:spacing w:after="60"/>
      </w:pPr>
      <w:r>
        <w:rPr>
          <w:rFonts w:ascii="Calibri" w:hAnsi="Calibri"/>
          <w:b/>
          <w:sz w:val="21"/>
        </w:rPr>
        <w:t>11. How does the modern HR function act as a value-adding strategic service provider rather than a purely administrative cost center?</w:t>
      </w:r>
    </w:p>
    <w:p>
      <w:pPr>
        <w:spacing w:after="40"/>
        <w:ind w:left="360"/>
      </w:pPr>
      <w:r>
        <w:rPr>
          <w:rFonts w:ascii="Calibri" w:hAnsi="Calibri"/>
          <w:sz w:val="20"/>
        </w:rPr>
        <w:t>A. By exclusively processing payroll and filing physical paperwork</w:t>
      </w:r>
    </w:p>
    <w:p>
      <w:pPr>
        <w:spacing w:after="40"/>
        <w:ind w:left="360"/>
      </w:pPr>
      <w:r>
        <w:rPr>
          <w:rFonts w:ascii="Calibri" w:hAnsi="Calibri"/>
          <w:sz w:val="20"/>
        </w:rPr>
        <w:t>B. By aligning human capital strategy directly with organizational objectives to drive performance and retention</w:t>
      </w:r>
    </w:p>
    <w:p>
      <w:pPr>
        <w:spacing w:after="40"/>
        <w:ind w:left="360"/>
      </w:pPr>
      <w:r>
        <w:rPr>
          <w:rFonts w:ascii="Calibri" w:hAnsi="Calibri"/>
          <w:sz w:val="20"/>
        </w:rPr>
        <w:t>C. By enforcing rigid bureaucracy without consulting line management</w:t>
      </w:r>
    </w:p>
    <w:p>
      <w:pPr>
        <w:spacing w:after="40"/>
        <w:ind w:left="360"/>
      </w:pPr>
      <w:r>
        <w:rPr>
          <w:rFonts w:ascii="Calibri" w:hAnsi="Calibri"/>
          <w:sz w:val="20"/>
        </w:rPr>
        <w:t>D. By eliminating all employee development budgets</w:t>
      </w:r>
    </w:p>
    <w:p>
      <w:pPr>
        <w:keepNext/>
        <w:spacing w:after="60"/>
      </w:pPr>
      <w:r>
        <w:rPr>
          <w:rFonts w:ascii="Calibri" w:hAnsi="Calibri"/>
          <w:b/>
          <w:sz w:val="21"/>
        </w:rPr>
        <w:t>12. What is a key risk associated with the complete outsourcing of core HR functions to external third-party vendors?</w:t>
      </w:r>
    </w:p>
    <w:p>
      <w:pPr>
        <w:spacing w:after="40"/>
        <w:ind w:left="360"/>
      </w:pPr>
      <w:r>
        <w:rPr>
          <w:rFonts w:ascii="Calibri" w:hAnsi="Calibri"/>
          <w:sz w:val="20"/>
        </w:rPr>
        <w:t>A. Guaranteed compliance with internal company culture</w:t>
      </w:r>
    </w:p>
    <w:p>
      <w:pPr>
        <w:spacing w:after="40"/>
        <w:ind w:left="360"/>
      </w:pPr>
      <w:r>
        <w:rPr>
          <w:rFonts w:ascii="Calibri" w:hAnsi="Calibri"/>
          <w:sz w:val="20"/>
        </w:rPr>
        <w:t>B. Loss of direct operational control and potential data privacy risks</w:t>
      </w:r>
    </w:p>
    <w:p>
      <w:pPr>
        <w:spacing w:after="40"/>
        <w:ind w:left="360"/>
      </w:pPr>
      <w:r>
        <w:rPr>
          <w:rFonts w:ascii="Calibri" w:hAnsi="Calibri"/>
          <w:sz w:val="20"/>
        </w:rPr>
        <w:t>C. Immediate elimination of all software subscription costs</w:t>
      </w:r>
    </w:p>
    <w:p>
      <w:pPr>
        <w:spacing w:after="40"/>
        <w:ind w:left="360"/>
      </w:pPr>
      <w:r>
        <w:rPr>
          <w:rFonts w:ascii="Calibri" w:hAnsi="Calibri"/>
          <w:sz w:val="20"/>
        </w:rPr>
        <w:t>D. Automatic increase in employee engagement scores</w:t>
      </w:r>
    </w:p>
    <w:p>
      <w:pPr>
        <w:keepNext/>
        <w:spacing w:after="60"/>
      </w:pPr>
      <w:r>
        <w:rPr>
          <w:rFonts w:ascii="Calibri" w:hAnsi="Calibri"/>
          <w:b/>
          <w:sz w:val="21"/>
        </w:rPr>
        <w:t>13. When conducting a root cause analysis of a service delivery failure using the '5 Whys' technique, the goal is to:</w:t>
      </w:r>
    </w:p>
    <w:p>
      <w:pPr>
        <w:spacing w:after="40"/>
        <w:ind w:left="360"/>
      </w:pPr>
      <w:r>
        <w:rPr>
          <w:rFonts w:ascii="Calibri" w:hAnsi="Calibri"/>
          <w:sz w:val="20"/>
        </w:rPr>
        <w:t>A. Identify a single individual to blame and discipline immediately</w:t>
      </w:r>
    </w:p>
    <w:p>
      <w:pPr>
        <w:spacing w:after="40"/>
        <w:ind w:left="360"/>
      </w:pPr>
      <w:r>
        <w:rPr>
          <w:rFonts w:ascii="Calibri" w:hAnsi="Calibri"/>
          <w:sz w:val="20"/>
        </w:rPr>
        <w:t>B. Drill down through consecutive causal layers to uncover the underlying systemic failure</w:t>
      </w:r>
    </w:p>
    <w:p>
      <w:pPr>
        <w:spacing w:after="40"/>
        <w:ind w:left="360"/>
      </w:pPr>
      <w:r>
        <w:rPr>
          <w:rFonts w:ascii="Calibri" w:hAnsi="Calibri"/>
          <w:sz w:val="20"/>
        </w:rPr>
        <w:t>C. Generate five separate financial budget reports</w:t>
      </w:r>
    </w:p>
    <w:p>
      <w:pPr>
        <w:spacing w:after="40"/>
        <w:ind w:left="360"/>
      </w:pPr>
      <w:r>
        <w:rPr>
          <w:rFonts w:ascii="Calibri" w:hAnsi="Calibri"/>
          <w:sz w:val="20"/>
        </w:rPr>
        <w:t>D. Ask five different employees the exact same interview question</w:t>
      </w:r>
    </w:p>
    <w:p>
      <w:pPr>
        <w:keepNext/>
        <w:spacing w:after="60"/>
      </w:pPr>
      <w:r>
        <w:rPr>
          <w:rFonts w:ascii="Calibri" w:hAnsi="Calibri"/>
          <w:b/>
          <w:sz w:val="21"/>
        </w:rPr>
        <w:t>14. In the SHRM HR Competency Model, the ability to design, execute, and evaluate efficient HR programs across an organization is known as:</w:t>
      </w:r>
    </w:p>
    <w:p>
      <w:pPr>
        <w:spacing w:after="40"/>
        <w:ind w:left="360"/>
      </w:pPr>
      <w:r>
        <w:rPr>
          <w:rFonts w:ascii="Calibri" w:hAnsi="Calibri"/>
          <w:sz w:val="20"/>
        </w:rPr>
        <w:t>A. Financial Auditing</w:t>
      </w:r>
    </w:p>
    <w:p>
      <w:pPr>
        <w:spacing w:after="40"/>
        <w:ind w:left="360"/>
      </w:pPr>
      <w:r>
        <w:rPr>
          <w:rFonts w:ascii="Calibri" w:hAnsi="Calibri"/>
          <w:sz w:val="20"/>
        </w:rPr>
        <w:t>B. HR Service Delivery</w:t>
      </w:r>
    </w:p>
    <w:p>
      <w:pPr>
        <w:spacing w:after="40"/>
        <w:ind w:left="360"/>
      </w:pPr>
      <w:r>
        <w:rPr>
          <w:rFonts w:ascii="Calibri" w:hAnsi="Calibri"/>
          <w:sz w:val="20"/>
        </w:rPr>
        <w:t>C. Supply Chain Logistics</w:t>
      </w:r>
    </w:p>
    <w:p>
      <w:pPr>
        <w:spacing w:after="40"/>
        <w:ind w:left="360"/>
      </w:pPr>
      <w:r>
        <w:rPr>
          <w:rFonts w:ascii="Calibri" w:hAnsi="Calibri"/>
          <w:sz w:val="20"/>
        </w:rPr>
        <w:t>D. Labor Arbitrage</w:t>
      </w:r>
    </w:p>
    <w:p>
      <w:pPr>
        <w:keepNext/>
        <w:spacing w:after="60"/>
      </w:pPr>
      <w:r>
        <w:rPr>
          <w:rFonts w:ascii="Calibri" w:hAnsi="Calibri"/>
          <w:b/>
          <w:sz w:val="21"/>
        </w:rPr>
        <w:t>15. Which metric evaluates the financial efficiency of the HR talent acquisition service delivery process?</w:t>
      </w:r>
    </w:p>
    <w:p>
      <w:pPr>
        <w:spacing w:after="40"/>
        <w:ind w:left="360"/>
      </w:pPr>
      <w:r>
        <w:rPr>
          <w:rFonts w:ascii="Calibri" w:hAnsi="Calibri"/>
          <w:sz w:val="20"/>
        </w:rPr>
        <w:t>A. First Call Resolution (FCR)</w:t>
      </w:r>
    </w:p>
    <w:p>
      <w:pPr>
        <w:spacing w:after="40"/>
        <w:ind w:left="360"/>
      </w:pPr>
      <w:r>
        <w:rPr>
          <w:rFonts w:ascii="Calibri" w:hAnsi="Calibri"/>
          <w:sz w:val="20"/>
        </w:rPr>
        <w:t>B. Cost Per Hire</w:t>
      </w:r>
    </w:p>
    <w:p>
      <w:pPr>
        <w:spacing w:after="40"/>
        <w:ind w:left="360"/>
      </w:pPr>
      <w:r>
        <w:rPr>
          <w:rFonts w:ascii="Calibri" w:hAnsi="Calibri"/>
          <w:sz w:val="20"/>
        </w:rPr>
        <w:t>C. Net Promoter Score (NPS)</w:t>
      </w:r>
    </w:p>
    <w:p>
      <w:pPr>
        <w:spacing w:after="40"/>
        <w:ind w:left="360"/>
      </w:pPr>
      <w:r>
        <w:rPr>
          <w:rFonts w:ascii="Calibri" w:hAnsi="Calibri"/>
          <w:sz w:val="20"/>
        </w:rPr>
        <w:t>D. Absenteeism Index</w:t>
      </w:r>
    </w:p>
    <w:p>
      <w:pPr>
        <w:spacing w:after="200"/>
      </w:pPr>
    </w:p>
    <w:p>
      <w:pPr>
        <w:keepNext/>
        <w:spacing w:before="320" w:after="120"/>
      </w:pPr>
      <w:r>
        <w:rPr>
          <w:rFonts w:ascii="Arial" w:hAnsi="Arial"/>
          <w:b/>
          <w:color w:val="004B80"/>
          <w:sz w:val="32"/>
        </w:rPr>
        <w:t>SECTION C: TRUE / FALSE WITH JUSTIFICATION (20 MARKS)</w:t>
      </w:r>
    </w:p>
    <w:p>
      <w:pPr>
        <w:spacing w:after="160" w:line="276" w:lineRule="auto"/>
      </w:pPr>
      <w:r>
        <w:rPr>
          <w:rFonts w:ascii="Calibri" w:hAnsi="Calibri"/>
          <w:b w:val="0"/>
          <w:i/>
          <w:color w:val="222222"/>
          <w:sz w:val="22"/>
        </w:rPr>
        <w:t>Instructions: State whether each statement is TRUE or FALSE, and provide a detailed technical justification citing relevant principles, statutory frameworks (e.g., POPIA, SLA contract law), professional standards (SABPP, SHRM, ISO 30400), or HR service delivery models. Question order has been scrambled for Version 2. Allocation: 1 mark for correct True/False identification + 3 marks for comprehensive justification. Total: 4 marks each (5 Questions = 20 Marks).</w:t>
      </w:r>
    </w:p>
    <w:p>
      <w:pPr>
        <w:keepNext/>
        <w:spacing w:after="40"/>
      </w:pPr>
      <w:r>
        <w:rPr>
          <w:rFonts w:ascii="Calibri" w:hAnsi="Calibri"/>
          <w:b/>
          <w:sz w:val="21"/>
        </w:rPr>
        <w:t xml:space="preserve">Statement 1: </w:t>
      </w:r>
      <w:r>
        <w:rPr>
          <w:rFonts w:ascii="Calibri" w:hAnsi="Calibri"/>
          <w:i/>
          <w:sz w:val="21"/>
        </w:rPr>
        <w:t>"An HR Service Delivery Charter is an informal document that carries no operational value, as line managers should never be informed of HR response times or service standards."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2: </w:t>
      </w:r>
      <w:r>
        <w:rPr>
          <w:rFonts w:ascii="Calibri" w:hAnsi="Calibri"/>
          <w:i/>
          <w:sz w:val="21"/>
        </w:rPr>
        <w:t>"According to POPIA and ethical people analytics standards, an organization is legally permitted to sell employee performance data and health metrics to external marketing firms without employee consent."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3: </w:t>
      </w:r>
      <w:r>
        <w:rPr>
          <w:rFonts w:ascii="Calibri" w:hAnsi="Calibri"/>
          <w:i/>
          <w:sz w:val="21"/>
        </w:rPr>
        <w:t>"A Multi-Tiered HR Service Delivery Model relies entirely on external third-party consultants (Tier 3) to handle basic employee leave inquiries and address routine address updates."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4: </w:t>
      </w:r>
      <w:r>
        <w:rPr>
          <w:rFonts w:ascii="Calibri" w:hAnsi="Calibri"/>
          <w:i/>
          <w:sz w:val="21"/>
        </w:rPr>
        <w:t>"To transform HR into a strategic value-adding service provider, the HR function must align its people practices, talent acquisition, and performance systems directly with the organization's strategic business goals."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5: </w:t>
      </w:r>
      <w:r>
        <w:rPr>
          <w:rFonts w:ascii="Calibri" w:hAnsi="Calibri"/>
          <w:i/>
          <w:sz w:val="21"/>
        </w:rPr>
        <w:t>"Managing HR technology Service Level Agreements (SLAs) requires defining clear performance metrics (such as uptime guarantees, resolution times, and data security measures) and regularly auditing vendor performance against these benchmarks."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after="4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