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jc w:val="left"/>
        <w:rPr/>
      </w:pPr>
      <w:r>
        <w:rPr/>
        <w:t>Job sheet: 21 September 2026</w:t>
      </w:r>
    </w:p>
    <w:p>
      <w:pPr>
        <w:pStyle w:val="BodyText"/>
        <w:bidi w:val="0"/>
        <w:jc w:val="left"/>
        <w:rPr/>
      </w:pPr>
      <w:r>
        <w:rPr/>
        <w:t>From Roland and Heidi's testing session of 21 September 2026 (09:57 SAST), plus the tenant flexibility decision taken with Roland the same afternoon.</w:t>
      </w:r>
    </w:p>
    <w:p>
      <w:pPr>
        <w:pStyle w:val="BodyText"/>
        <w:bidi w:val="0"/>
        <w:jc w:val="left"/>
        <w:rPr>
          <w:strike/>
        </w:rPr>
      </w:pPr>
      <w:r>
        <w:rPr>
          <w:strike/>
        </w:rPr>
        <w:t xml:space="preserve">Launch has moved. Heidi plans an online launch session in </w:t>
      </w:r>
      <w:r>
        <w:rPr>
          <w:b/>
          <w:strike/>
        </w:rPr>
        <w:t>late October or the</w:t>
      </w:r>
      <w:r>
        <w:rPr>
          <w:strike/>
        </w:rPr>
        <w:t> </w:t>
      </w:r>
      <w:r>
        <w:rPr>
          <w:b/>
          <w:strike/>
        </w:rPr>
        <w:t>first week of November</w:t>
      </w:r>
      <w:r>
        <w:rPr>
          <w:strike/>
        </w:rPr>
        <w:t>. The original target was 1 October. The reason given was user navigation, which is what most of this sheet is about.</w:t>
      </w:r>
    </w:p>
    <w:p>
      <w:pPr>
        <w:pStyle w:val="HorizontalLine"/>
        <w:bidi w:val="0"/>
        <w:jc w:val="left"/>
        <w:rPr/>
      </w:pPr>
      <w:r>
        <w:rPr/>
      </w:r>
    </w:p>
    <w:p>
      <w:pPr>
        <w:pStyle w:val="Heading2"/>
        <w:bidi w:val="0"/>
        <w:ind w:hanging="0" w:left="0"/>
        <w:jc w:val="left"/>
        <w:rPr/>
      </w:pPr>
      <w:r>
        <w:rPr/>
        <w:t>1. Readability and appearance</w:t>
      </w:r>
    </w:p>
    <w:p>
      <w:pPr>
        <w:pStyle w:val="Heading3"/>
        <w:bidi w:val="0"/>
        <w:ind w:hanging="0" w:left="0"/>
        <w:jc w:val="left"/>
        <w:rPr/>
      </w:pPr>
      <w:r>
        <w:rPr/>
        <w:t>1.1 Pale grey text must become black</w:t>
      </w:r>
    </w:p>
    <w:p>
      <w:pPr>
        <w:pStyle w:val="BodyText"/>
        <w:bidi w:val="0"/>
        <w:jc w:val="left"/>
        <w:rPr/>
      </w:pPr>
      <w:r>
        <w:rPr>
          <w:b/>
        </w:rPr>
        <w:t>Raised by:</w:t>
      </w:r>
      <w:r>
        <w:rPr/>
        <w:t xml:space="preserve"> Heidi, on the delivery structure panel. </w:t>
      </w:r>
      <w:r>
        <w:rPr>
          <w:b/>
        </w:rPr>
        <w:t>Status:</w:t>
      </w:r>
      <w:r>
        <w:rPr/>
        <w:t xml:space="preserve"> not started.</w:t>
      </w:r>
    </w:p>
    <w:p>
      <w:pPr>
        <w:pStyle w:val="BodyText"/>
        <w:bidi w:val="0"/>
        <w:jc w:val="left"/>
        <w:rPr/>
      </w:pPr>
      <w:r>
        <w:rPr/>
        <w:t>Heidi could not read the text under the delivery structure. The platform uses </w:t>
      </w:r>
      <w:r>
        <w:rPr>
          <w:rFonts w:ascii="Liberation Mono" w:hAnsi="Liberation Mono"/>
        </w:rPr>
        <w:t>var(--muted)</w:t>
      </w:r>
      <w:r>
        <w:rPr/>
        <w:t xml:space="preserve"> for secondary text throughout, and on her screen it is effectively invisible. Roland agreed that every grey area becomes black, for readability and for brand consistency.</w:t>
      </w:r>
    </w:p>
    <w:p>
      <w:pPr>
        <w:pStyle w:val="BodyText"/>
        <w:bidi w:val="0"/>
        <w:jc w:val="left"/>
        <w:rPr/>
      </w:pPr>
      <w:r>
        <w:rPr/>
        <w:t xml:space="preserve">This is not a one screen fix. </w:t>
      </w:r>
      <w:r>
        <w:rPr>
          <w:rFonts w:ascii="Liberation Mono" w:hAnsi="Liberation Mono"/>
        </w:rPr>
        <w:t>--muted</w:t>
      </w:r>
      <w:r>
        <w:rPr/>
        <w:t xml:space="preserve"> is used on almost every page, so the change belongs in the theme rather than in the pages. Worth checking the contrast ratio rather than only the colour: black on the surface colour must also pass where a tenant has set their own palette.</w:t>
      </w:r>
    </w:p>
    <w:p>
      <w:pPr>
        <w:pStyle w:val="Heading3"/>
        <w:bidi w:val="0"/>
        <w:ind w:hanging="0" w:left="0"/>
        <w:jc w:val="left"/>
        <w:rPr/>
      </w:pPr>
      <w:r>
        <w:rPr/>
        <w:t>1.2 Favicon</w:t>
      </w:r>
    </w:p>
    <w:p>
      <w:pPr>
        <w:pStyle w:val="BodyText"/>
        <w:bidi w:val="0"/>
        <w:jc w:val="left"/>
        <w:rPr/>
      </w:pPr>
      <w:r>
        <w:rPr>
          <w:b/>
        </w:rPr>
        <w:t>Owner:</w:t>
      </w:r>
      <w:r>
        <w:rPr/>
        <w:t xml:space="preserve"> Linda, via Roland. </w:t>
      </w:r>
      <w:r>
        <w:rPr>
          <w:b/>
        </w:rPr>
        <w:t>Status:</w:t>
      </w:r>
      <w:r>
        <w:rPr/>
        <w:t xml:space="preserve"> not started.</w:t>
      </w:r>
    </w:p>
    <w:p>
      <w:pPr>
        <w:pStyle w:val="BodyText"/>
        <w:bidi w:val="0"/>
        <w:jc w:val="left"/>
        <w:rPr/>
      </w:pPr>
      <w:r>
        <w:rPr/>
        <w:t>The LMS domain must carry the favicon used on the Curiosa website.</w:t>
      </w:r>
    </w:p>
    <w:p>
      <w:pPr>
        <w:pStyle w:val="HorizontalLine"/>
        <w:bidi w:val="0"/>
        <w:jc w:val="left"/>
        <w:rPr/>
      </w:pPr>
      <w:r>
        <w:rPr/>
      </w:r>
    </w:p>
    <w:p>
      <w:pPr>
        <w:pStyle w:val="Heading2"/>
        <w:bidi w:val="0"/>
        <w:ind w:hanging="0" w:left="0"/>
        <w:jc w:val="left"/>
        <w:rPr/>
      </w:pPr>
      <w:r>
        <w:rPr/>
        <w:t>2. Seeing the material</w:t>
      </w:r>
    </w:p>
    <w:p>
      <w:pPr>
        <w:pStyle w:val="Heading3"/>
        <w:bidi w:val="0"/>
        <w:ind w:hanging="0" w:left="0"/>
        <w:jc w:val="left"/>
        <w:rPr>
          <w:strike/>
        </w:rPr>
      </w:pPr>
      <w:r>
        <w:rPr>
          <w:strike/>
        </w:rPr>
        <w:t>2.1 Workbooks must open on screen, not download</w:t>
      </w:r>
    </w:p>
    <w:p>
      <w:pPr>
        <w:pStyle w:val="BodyText"/>
        <w:bidi w:val="0"/>
        <w:jc w:val="left"/>
        <w:rPr>
          <w:strike/>
        </w:rPr>
      </w:pPr>
      <w:r>
        <w:rPr>
          <w:b/>
          <w:strike/>
        </w:rPr>
        <w:t>Raised by:</w:t>
      </w:r>
      <w:r>
        <w:rPr>
          <w:strike/>
        </w:rPr>
        <w:t xml:space="preserve"> Heidi. </w:t>
      </w:r>
      <w:r>
        <w:rPr>
          <w:b/>
          <w:strike/>
        </w:rPr>
        <w:t>Status:</w:t>
      </w:r>
      <w:r>
        <w:rPr>
          <w:strike/>
        </w:rPr>
        <w:t xml:space="preserve"> not started.</w:t>
      </w:r>
    </w:p>
    <w:p>
      <w:pPr>
        <w:pStyle w:val="BodyText"/>
        <w:bidi w:val="0"/>
        <w:jc w:val="left"/>
        <w:rPr>
          <w:strike/>
        </w:rPr>
      </w:pPr>
      <w:r>
        <w:rPr>
          <w:strike/>
        </w:rPr>
        <w:t>Workbooks currently open as Word documents rather than on screen. An administrator or facilitator has no way to look at a workbook inside the platform.</w:t>
      </w:r>
    </w:p>
    <w:p>
      <w:pPr>
        <w:pStyle w:val="BodyText"/>
        <w:bidi w:val="0"/>
        <w:jc w:val="left"/>
        <w:rPr>
          <w:strike/>
        </w:rPr>
      </w:pPr>
      <w:r>
        <w:rPr>
          <w:strike/>
        </w:rPr>
        <w:t xml:space="preserve">Note what this is not. </w:t>
      </w:r>
      <w:r>
        <w:rPr>
          <w:rFonts w:ascii="Liberation Mono" w:hAnsi="Liberation Mono"/>
          <w:strike/>
        </w:rPr>
        <w:t>/papers/[id]/preview</w:t>
      </w:r>
      <w:r>
        <w:rPr>
          <w:strike/>
        </w:rPr>
        <w:t xml:space="preserve">, built on 21 September, shows a workbook that has already been </w:t>
      </w:r>
      <w:r>
        <w:rPr>
          <w:b/>
          <w:strike/>
        </w:rPr>
        <w:t>captured</w:t>
      </w:r>
      <w:r>
        <w:rPr>
          <w:strike/>
        </w:rPr>
        <w:t>, as the learner will meet it. This item is different: it is viewing the source document itself, before or without capture, for somebody checking what was uploaded.</w:t>
      </w:r>
    </w:p>
    <w:p>
      <w:pPr>
        <w:pStyle w:val="Heading3"/>
        <w:bidi w:val="0"/>
        <w:ind w:hanging="0" w:left="0"/>
        <w:jc w:val="left"/>
        <w:rPr/>
      </w:pPr>
      <w:r>
        <w:rPr/>
        <w:t>2.2 Learner view preview for administrators and facilitators</w:t>
      </w:r>
    </w:p>
    <w:p>
      <w:pPr>
        <w:pStyle w:val="BodyText"/>
        <w:bidi w:val="0"/>
        <w:jc w:val="left"/>
        <w:rPr/>
      </w:pPr>
      <w:r>
        <w:rPr>
          <w:b/>
        </w:rPr>
        <w:t>Raised by:</w:t>
      </w:r>
      <w:r>
        <w:rPr/>
        <w:t xml:space="preserve"> Roland, noted as still pending. </w:t>
      </w:r>
      <w:r>
        <w:rPr>
          <w:b/>
        </w:rPr>
        <w:t>Status:</w:t>
      </w:r>
      <w:r>
        <w:rPr/>
        <w:t xml:space="preserve"> partly done.</w:t>
      </w:r>
    </w:p>
    <w:p>
      <w:pPr>
        <w:pStyle w:val="BodyText"/>
        <w:bidi w:val="0"/>
        <w:jc w:val="left"/>
        <w:rPr/>
      </w:pPr>
      <w:r>
        <w:rPr>
          <w:rFonts w:ascii="Liberation Mono" w:hAnsi="Liberation Mono"/>
        </w:rPr>
        <w:t>/papers/[id]/preview</w:t>
      </w:r>
      <w:r>
        <w:rPr/>
        <w:t xml:space="preserve"> covers a captured paper. It does not yet cover a whole qualification walked through as a learner would meet it, which is what item 3.1 needs.</w:t>
      </w:r>
    </w:p>
    <w:p>
      <w:pPr>
        <w:pStyle w:val="HorizontalLine"/>
        <w:bidi w:val="0"/>
        <w:jc w:val="left"/>
        <w:rPr/>
      </w:pPr>
      <w:r>
        <w:rPr/>
      </w:r>
    </w:p>
    <w:p>
      <w:pPr>
        <w:pStyle w:val="Heading2"/>
        <w:bidi w:val="0"/>
        <w:ind w:hanging="0" w:left="0"/>
        <w:jc w:val="left"/>
        <w:rPr/>
      </w:pPr>
      <w:r>
        <w:rPr/>
        <w:t>3. Testing as each role</w:t>
      </w:r>
    </w:p>
    <w:p>
      <w:pPr>
        <w:pStyle w:val="Heading3"/>
        <w:bidi w:val="0"/>
        <w:ind w:hanging="0" w:left="0"/>
        <w:jc w:val="left"/>
        <w:rPr/>
      </w:pPr>
      <w:r>
        <w:rPr/>
        <w:t>3.1 Learner access for testing</w:t>
      </w:r>
    </w:p>
    <w:p>
      <w:pPr>
        <w:pStyle w:val="BodyText"/>
        <w:bidi w:val="0"/>
        <w:jc w:val="left"/>
        <w:rPr/>
      </w:pPr>
      <w:r>
        <w:rPr>
          <w:b/>
        </w:rPr>
        <w:t>Owner:</w:t>
      </w:r>
      <w:r>
        <w:rPr/>
        <w:t xml:space="preserve"> Roland. </w:t>
      </w:r>
      <w:r>
        <w:rPr>
          <w:b/>
        </w:rPr>
        <w:t>Status:</w:t>
      </w:r>
      <w:r>
        <w:rPr/>
        <w:t xml:space="preserve"> not started.</w:t>
      </w:r>
    </w:p>
    <w:p>
      <w:pPr>
        <w:pStyle w:val="BodyText"/>
        <w:bidi w:val="0"/>
        <w:jc w:val="left"/>
        <w:rPr/>
      </w:pPr>
      <w:r>
        <w:rPr/>
        <w:t>Heidi wants to log in as a learner and work a qualification from start to finish on dummy data, beginning where a real learner begins: an administrator issues a login name and a system generated password.</w:t>
      </w:r>
    </w:p>
    <w:p>
      <w:pPr>
        <w:pStyle w:val="BodyText"/>
        <w:bidi w:val="0"/>
        <w:jc w:val="left"/>
        <w:rPr/>
      </w:pPr>
      <w:r>
        <w:rPr/>
        <w:t>Roland noted the current route is to create a fake person under People to generate credentials. Confirm to Heidi when it is ready.</w:t>
      </w:r>
    </w:p>
    <w:p>
      <w:pPr>
        <w:pStyle w:val="Heading3"/>
        <w:bidi w:val="0"/>
        <w:ind w:hanging="0" w:left="0"/>
        <w:jc w:val="left"/>
        <w:rPr/>
      </w:pPr>
      <w:r>
        <w:rPr/>
        <w:t>3.2 Every role, not only the learner</w:t>
      </w:r>
    </w:p>
    <w:p>
      <w:pPr>
        <w:pStyle w:val="BodyText"/>
        <w:bidi w:val="0"/>
        <w:jc w:val="left"/>
        <w:rPr/>
      </w:pPr>
      <w:r>
        <w:rPr>
          <w:b/>
        </w:rPr>
        <w:t>Owner:</w:t>
      </w:r>
      <w:r>
        <w:rPr/>
        <w:t xml:space="preserve"> Roland with Heidi. </w:t>
      </w:r>
      <w:r>
        <w:rPr>
          <w:b/>
        </w:rPr>
        <w:t>Status:</w:t>
      </w:r>
      <w:r>
        <w:rPr/>
        <w:t xml:space="preserve"> not started.</w:t>
      </w:r>
    </w:p>
    <w:p>
      <w:pPr>
        <w:pStyle w:val="BodyText"/>
        <w:bidi w:val="0"/>
        <w:jc w:val="left"/>
        <w:rPr/>
      </w:pPr>
      <w:r>
        <w:rPr/>
        <w:t>Testing must cover administrator, instructor, learner and skills development facilitator, across the management menus and the profiles.</w:t>
      </w:r>
    </w:p>
    <w:p>
      <w:pPr>
        <w:pStyle w:val="Heading3"/>
        <w:bidi w:val="0"/>
        <w:ind w:hanging="0" w:left="0"/>
        <w:jc w:val="left"/>
        <w:rPr/>
      </w:pPr>
      <w:r>
        <w:rPr/>
        <w:t>3.3 Role specific libraries</w:t>
      </w:r>
    </w:p>
    <w:p>
      <w:pPr>
        <w:pStyle w:val="BodyText"/>
        <w:bidi w:val="0"/>
        <w:jc w:val="left"/>
        <w:rPr/>
      </w:pPr>
      <w:r>
        <w:rPr>
          <w:b/>
        </w:rPr>
        <w:t>Raised by:</w:t>
      </w:r>
      <w:r>
        <w:rPr/>
        <w:t xml:space="preserve"> Heidi. </w:t>
      </w:r>
      <w:r>
        <w:rPr>
          <w:b/>
        </w:rPr>
        <w:t>Status:</w:t>
      </w:r>
      <w:r>
        <w:rPr/>
        <w:t xml:space="preserve"> not started.</w:t>
      </w:r>
    </w:p>
    <w:p>
      <w:pPr>
        <w:pStyle w:val="BodyText"/>
        <w:bidi w:val="0"/>
        <w:jc w:val="left"/>
        <w:rPr/>
      </w:pPr>
      <w:r>
        <w:rPr/>
        <w:t>A learner must not see internal policies. Learners get a learner quality management guide instead. The document library already restricts memoranda and summatives to assessors, so the mechanism exists. What is missing is a learner facing category and a rule that keeps internal policy out of it.</w:t>
      </w:r>
    </w:p>
    <w:p>
      <w:pPr>
        <w:pStyle w:val="Heading3"/>
        <w:bidi w:val="0"/>
        <w:ind w:hanging="0" w:left="0"/>
        <w:jc w:val="left"/>
        <w:rPr/>
      </w:pPr>
      <w:r>
        <w:rPr/>
        <w:t>3.4 Heidi's own navigation review</w:t>
      </w:r>
    </w:p>
    <w:p>
      <w:pPr>
        <w:pStyle w:val="BodyText"/>
        <w:bidi w:val="0"/>
        <w:jc w:val="left"/>
        <w:rPr/>
      </w:pPr>
      <w:r>
        <w:rPr>
          <w:b/>
        </w:rPr>
        <w:t>Owner:</w:t>
      </w:r>
      <w:r>
        <w:rPr/>
        <w:t xml:space="preserve"> Heidi. </w:t>
      </w:r>
      <w:r>
        <w:rPr>
          <w:b/>
        </w:rPr>
        <w:t>Due:</w:t>
      </w:r>
      <w:r>
        <w:rPr/>
        <w:t xml:space="preserve"> Monday morning.</w:t>
      </w:r>
    </w:p>
    <w:p>
      <w:pPr>
        <w:pStyle w:val="BodyText"/>
        <w:bidi w:val="0"/>
        <w:jc w:val="left"/>
        <w:rPr/>
      </w:pPr>
      <w:r>
        <w:rPr/>
        <w:t>Heidi committed to going through every menu item and screen and noting feedback. Expect a list.</w:t>
      </w:r>
    </w:p>
    <w:p>
      <w:pPr>
        <w:pStyle w:val="HorizontalLine"/>
        <w:bidi w:val="0"/>
        <w:jc w:val="left"/>
        <w:rPr/>
      </w:pPr>
      <w:r>
        <w:rPr/>
      </w:r>
    </w:p>
    <w:p>
      <w:pPr>
        <w:pStyle w:val="Heading2"/>
        <w:bidi w:val="0"/>
        <w:ind w:hanging="0" w:left="0"/>
        <w:jc w:val="left"/>
        <w:rPr/>
      </w:pPr>
      <w:r>
        <w:rPr/>
        <w:t>4. Storage, backups and the value chain</w:t>
      </w:r>
    </w:p>
    <w:p>
      <w:pPr>
        <w:pStyle w:val="BodyText"/>
        <w:bidi w:val="0"/>
        <w:jc w:val="left"/>
        <w:rPr/>
      </w:pPr>
      <w:r>
        <w:rPr/>
        <w:t>This is the largest item and it has a deadline.</w:t>
      </w:r>
    </w:p>
    <w:p>
      <w:pPr>
        <w:pStyle w:val="Heading3"/>
        <w:bidi w:val="0"/>
        <w:ind w:hanging="0" w:left="0"/>
        <w:jc w:val="left"/>
        <w:rPr/>
      </w:pPr>
      <w:r>
        <w:rPr/>
        <w:t>4.1 Backup retention</w:t>
      </w:r>
    </w:p>
    <w:p>
      <w:pPr>
        <w:pStyle w:val="BodyText"/>
        <w:bidi w:val="0"/>
        <w:jc w:val="left"/>
        <w:rPr/>
      </w:pPr>
      <w:r>
        <w:rPr>
          <w:b/>
        </w:rPr>
        <w:t>Status:</w:t>
      </w:r>
      <w:r>
        <w:rPr/>
        <w:t xml:space="preserve"> done, 21 September. </w:t>
      </w:r>
      <w:r>
        <w:rPr>
          <w:b/>
        </w:rPr>
        <w:t>Needs:</w:t>
      </w:r>
      <w:r>
        <w:rPr/>
        <w:t xml:space="preserve"> confirming to Heidi.</w:t>
      </w:r>
    </w:p>
    <w:p>
      <w:pPr>
        <w:pStyle w:val="BodyText"/>
        <w:bidi w:val="0"/>
        <w:jc w:val="left"/>
        <w:rPr/>
      </w:pPr>
      <w:r>
        <w:rPr/>
        <w:t>The disk reached 93 per cent. The cause was not the application data, which is a little over 1 GB. It was 8.5 GB of backups, of which everything older than seven days accounted for 0.08 GB.</w:t>
      </w:r>
    </w:p>
    <w:p>
      <w:pPr>
        <w:pStyle w:val="BodyText"/>
        <w:bidi w:val="0"/>
        <w:jc w:val="left"/>
        <w:rPr/>
      </w:pPr>
      <w:r>
        <w:rPr/>
        <w:t>Two fixes went in on 21 September:</w:t>
      </w:r>
    </w:p>
    <w:p>
      <w:pPr>
        <w:pStyle w:val="BodyText"/>
        <w:numPr>
          <w:ilvl w:val="0"/>
          <w:numId w:val="2"/>
        </w:numPr>
        <w:tabs>
          <w:tab w:val="clear" w:pos="709"/>
          <w:tab w:val="left" w:pos="709" w:leader="none"/>
        </w:tabs>
        <w:bidi w:val="0"/>
        <w:ind w:hanging="283" w:left="709"/>
        <w:jc w:val="left"/>
        <w:rPr/>
      </w:pPr>
      <w:r>
        <w:rPr/>
        <w:t>The pre deploy backup now takes the database only. The evidence archive, a full copy of every uploaded file at roughly 1 GB, is taken nightly instead of before every deploy.</w:t>
      </w:r>
    </w:p>
    <w:p>
      <w:pPr>
        <w:pStyle w:val="BodyText"/>
        <w:numPr>
          <w:ilvl w:val="0"/>
          <w:numId w:val="2"/>
        </w:numPr>
        <w:tabs>
          <w:tab w:val="clear" w:pos="709"/>
          <w:tab w:val="left" w:pos="709" w:leader="none"/>
        </w:tabs>
        <w:bidi w:val="0"/>
        <w:ind w:hanging="283" w:left="709"/>
        <w:jc w:val="left"/>
        <w:rPr/>
      </w:pPr>
      <w:r>
        <w:rPr/>
        <w:t>Evidence archives are kept by count, the newest three, rather than by age. Age released nothing because all the weight was recent.</w:t>
      </w:r>
    </w:p>
    <w:p>
      <w:pPr>
        <w:pStyle w:val="BodyText"/>
        <w:bidi w:val="0"/>
        <w:jc w:val="left"/>
        <w:rPr/>
      </w:pPr>
      <w:r>
        <w:rPr/>
        <w:t>A third fix followed the same day. Docker images were also kept by age at 72 hours, and six deploys in one day all sat inside that window, so the prune reclaimed nothing while 4.6 GB accumulated. Images are now kept by count, the newest two versions, as app and tools pairs.</w:t>
      </w:r>
    </w:p>
    <w:p>
      <w:pPr>
        <w:pStyle w:val="BodyText"/>
        <w:bidi w:val="0"/>
        <w:jc w:val="left"/>
        <w:rPr/>
      </w:pPr>
      <w:r>
        <w:rPr/>
        <w:t>Result: 93 per cent full down to 60 per cent, 7.5 GB free.</w:t>
      </w:r>
    </w:p>
    <w:p>
      <w:pPr>
        <w:pStyle w:val="BodyText"/>
        <w:bidi w:val="0"/>
        <w:jc w:val="left"/>
        <w:rPr/>
      </w:pPr>
      <w:r>
        <w:rPr/>
        <w:t>Heidi's own summary of the underlying problem is correct and worth keeping: the evidence archive is the cost, not the database dump, and both halves are required or a restored Portfolio of Evidence points at files that no longer exist.</w:t>
      </w:r>
    </w:p>
    <w:p>
      <w:pPr>
        <w:pStyle w:val="Heading3"/>
        <w:bidi w:val="0"/>
        <w:ind w:hanging="0" w:left="0"/>
        <w:jc w:val="left"/>
        <w:rPr/>
      </w:pPr>
      <w:r>
        <w:rPr/>
        <w:t>4.2 Server quotes</w:t>
      </w:r>
    </w:p>
    <w:p>
      <w:pPr>
        <w:pStyle w:val="BodyText"/>
        <w:bidi w:val="0"/>
        <w:jc w:val="left"/>
        <w:rPr/>
      </w:pPr>
      <w:r>
        <w:rPr>
          <w:b/>
        </w:rPr>
        <w:t>Owner:</w:t>
      </w:r>
      <w:r>
        <w:rPr/>
        <w:t xml:space="preserve"> Roland, from Linda. </w:t>
      </w:r>
      <w:r>
        <w:rPr>
          <w:b/>
        </w:rPr>
        <w:t>Status:</w:t>
      </w:r>
      <w:r>
        <w:rPr/>
        <w:t xml:space="preserve"> not started.</w:t>
      </w:r>
    </w:p>
    <w:p>
      <w:pPr>
        <w:pStyle w:val="BodyText"/>
        <w:bidi w:val="0"/>
        <w:jc w:val="left"/>
        <w:rPr/>
      </w:pPr>
      <w:r>
        <w:rPr/>
        <w:t xml:space="preserve">Quotes for </w:t>
      </w:r>
      <w:r>
        <w:rPr>
          <w:b/>
        </w:rPr>
        <w:t>500 GB</w:t>
      </w:r>
      <w:r>
        <w:rPr/>
        <w:t xml:space="preserve"> and </w:t>
      </w:r>
      <w:r>
        <w:rPr>
          <w:b/>
        </w:rPr>
        <w:t>1 TB</w:t>
      </w:r>
      <w:r>
        <w:rPr/>
        <w:t>. The note for Linda already sent (</w:t>
      </w:r>
      <w:r>
        <w:rPr>
          <w:rFonts w:ascii="Liberation Mono" w:hAnsi="Liberation Mono"/>
        </w:rPr>
        <w:t>Design/Server/Disk Capacity Note - lms.curiosa.academy.md</w:t>
      </w:r>
      <w:r>
        <w:rPr/>
        <w:t xml:space="preserve">) asks for 40 to 60 GB, which was sized before this meeting. </w:t>
      </w:r>
      <w:r>
        <w:rPr>
          <w:strike/>
        </w:rPr>
        <w:t>Update it, or supersede it, so the figures agree.</w:t>
      </w:r>
      <w:r>
        <w:rPr>
          <w:strike w:val="false"/>
          <w:dstrike w:val="false"/>
        </w:rPr>
        <w:t xml:space="preserve"> </w:t>
      </w:r>
      <w:r>
        <w:rPr>
          <w:strike w:val="false"/>
          <w:dstrike w:val="false"/>
        </w:rPr>
        <w:t>Leave the note to Linda. Roland has already sent it.  The new capacity need will first be discussed with Linda.  Nothing for Claude to do here yet.</w:t>
      </w:r>
    </w:p>
    <w:p>
      <w:pPr>
        <w:pStyle w:val="Heading3"/>
        <w:bidi w:val="0"/>
        <w:ind w:hanging="0" w:left="0"/>
        <w:jc w:val="left"/>
        <w:rPr/>
      </w:pPr>
      <w:r>
        <w:rPr/>
        <w:t>4.3 Archiving cohort evidence off the server</w:t>
      </w:r>
    </w:p>
    <w:p>
      <w:pPr>
        <w:pStyle w:val="BodyText"/>
        <w:bidi w:val="0"/>
        <w:jc w:val="left"/>
        <w:rPr/>
      </w:pPr>
      <w:r>
        <w:rPr>
          <w:b/>
        </w:rPr>
        <w:t>Owner:</w:t>
      </w:r>
      <w:r>
        <w:rPr/>
        <w:t xml:space="preserve"> Roland. </w:t>
      </w:r>
      <w:r>
        <w:rPr>
          <w:b/>
        </w:rPr>
        <w:t>Status:</w:t>
      </w:r>
      <w:r>
        <w:rPr/>
        <w:t xml:space="preserve"> not started.</w:t>
      </w:r>
    </w:p>
    <w:p>
      <w:pPr>
        <w:pStyle w:val="BodyText"/>
        <w:bidi w:val="0"/>
        <w:jc w:val="left"/>
        <w:rPr/>
      </w:pPr>
      <w:r>
        <w:rPr/>
        <w:t>Heidi's decision: once a cohort has received certificates of competence and statements of results after their first EISA, that cohort's evidence is archived and removed from the main server. Academic data retention is five years, so the data continues to exist. It does not continue to sit on this disk.</w:t>
      </w:r>
    </w:p>
    <w:p>
      <w:pPr>
        <w:pStyle w:val="BodyText"/>
        <w:bidi w:val="0"/>
        <w:jc w:val="left"/>
        <w:rPr/>
      </w:pPr>
      <w:r>
        <w:rPr/>
        <w:t>This needs an export function so a tenant can take custody of their own storage. Treat it as a deliverable, not a script: the tenant has to be able to run it, and the export has to be complete enough to restore from.</w:t>
      </w:r>
    </w:p>
    <w:p>
      <w:pPr>
        <w:pStyle w:val="Heading3"/>
        <w:bidi w:val="0"/>
        <w:ind w:hanging="0" w:left="0"/>
        <w:jc w:val="left"/>
        <w:rPr/>
      </w:pPr>
      <w:r>
        <w:rPr/>
        <w:t>4.4 Process flow, value chain and costing</w:t>
      </w:r>
    </w:p>
    <w:p>
      <w:pPr>
        <w:pStyle w:val="BodyText"/>
        <w:bidi w:val="0"/>
        <w:jc w:val="left"/>
        <w:rPr/>
      </w:pPr>
      <w:r>
        <w:rPr>
          <w:b/>
        </w:rPr>
        <w:t>Owners:</w:t>
      </w:r>
      <w:r>
        <w:rPr/>
        <w:t xml:space="preserve"> Roland, Claude and Linda. </w:t>
      </w:r>
      <w:r>
        <w:rPr>
          <w:b/>
        </w:rPr>
        <w:t>Due:</w:t>
      </w:r>
      <w:r>
        <w:rPr/>
        <w:t xml:space="preserve"> end of week. </w:t>
      </w:r>
      <w:r>
        <w:rPr>
          <w:b/>
        </w:rPr>
        <w:t>Meeting:</w:t>
      </w:r>
      <w:r>
        <w:rPr/>
        <w:t xml:space="preserve"> Wednesday 10:00, half an hour, pending Linda's input.</w:t>
      </w:r>
    </w:p>
    <w:p>
      <w:pPr>
        <w:pStyle w:val="BodyText"/>
        <w:bidi w:val="0"/>
        <w:jc w:val="left"/>
        <w:rPr/>
      </w:pPr>
      <w:r>
        <w:rPr/>
        <w:t>Heidi needs a process flow and a value chain with numbers attached so she can build client billing. Her framing is actuarial: the cost has to be traceable through the chain, not estimated at the end.</w:t>
      </w:r>
    </w:p>
    <w:p>
      <w:pPr>
        <w:pStyle w:val="BodyText"/>
        <w:bidi w:val="0"/>
        <w:jc w:val="left"/>
        <w:rPr/>
      </w:pPr>
      <w:r>
        <w:rPr/>
        <w:t>Two things must be in the numbers:</w:t>
      </w:r>
    </w:p>
    <w:p>
      <w:pPr>
        <w:pStyle w:val="BodyText"/>
        <w:numPr>
          <w:ilvl w:val="0"/>
          <w:numId w:val="3"/>
        </w:numPr>
        <w:tabs>
          <w:tab w:val="clear" w:pos="709"/>
          <w:tab w:val="left" w:pos="709" w:leader="none"/>
        </w:tabs>
        <w:bidi w:val="0"/>
        <w:ind w:hanging="283" w:left="709"/>
        <w:jc w:val="left"/>
        <w:rPr/>
      </w:pPr>
      <w:r>
        <w:rPr>
          <w:b/>
        </w:rPr>
        <w:t>Tenant costs.</w:t>
      </w:r>
      <w:r>
        <w:rPr/>
        <w:t xml:space="preserve"> Storage capacity scales with tenant growth.</w:t>
      </w:r>
    </w:p>
    <w:p>
      <w:pPr>
        <w:pStyle w:val="BodyText"/>
        <w:numPr>
          <w:ilvl w:val="0"/>
          <w:numId w:val="3"/>
        </w:numPr>
        <w:tabs>
          <w:tab w:val="clear" w:pos="709"/>
          <w:tab w:val="left" w:pos="709" w:leader="none"/>
        </w:tabs>
        <w:bidi w:val="0"/>
        <w:ind w:hanging="283" w:left="709"/>
        <w:jc w:val="left"/>
        <w:rPr/>
      </w:pPr>
      <w:r>
        <w:rPr>
          <w:b/>
        </w:rPr>
        <w:t>Learner costs.</w:t>
      </w:r>
      <w:r>
        <w:rPr/>
        <w:t xml:space="preserve"> Roland raised that Curiosa's own learners carry a data retention and availability cost that must sit in learner billing. Heidi agreed.</w:t>
      </w:r>
    </w:p>
    <w:p>
      <w:pPr>
        <w:pStyle w:val="HorizontalLine"/>
        <w:bidi w:val="0"/>
        <w:jc w:val="left"/>
        <w:rPr/>
      </w:pPr>
      <w:r>
        <w:rPr/>
      </w:r>
    </w:p>
    <w:p>
      <w:pPr>
        <w:pStyle w:val="Heading2"/>
        <w:bidi w:val="0"/>
        <w:ind w:hanging="0" w:left="0"/>
        <w:jc w:val="left"/>
        <w:rPr/>
      </w:pPr>
      <w:r>
        <w:rPr/>
        <w:t>5. Qualification upload</w:t>
      </w:r>
    </w:p>
    <w:p>
      <w:pPr>
        <w:pStyle w:val="Heading3"/>
        <w:bidi w:val="0"/>
        <w:ind w:hanging="0" w:left="0"/>
        <w:jc w:val="left"/>
        <w:rPr/>
      </w:pPr>
      <w:r>
        <w:rPr/>
        <w:t>5.1 Module code permutations</w:t>
      </w:r>
    </w:p>
    <w:p>
      <w:pPr>
        <w:pStyle w:val="BodyText"/>
        <w:bidi w:val="0"/>
        <w:jc w:val="left"/>
        <w:rPr/>
      </w:pPr>
      <w:r>
        <w:rPr>
          <w:b/>
        </w:rPr>
        <w:t>Status:</w:t>
      </w:r>
      <w:r>
        <w:rPr/>
        <w:t xml:space="preserve"> done, 21 September.</w:t>
      </w:r>
    </w:p>
    <w:p>
      <w:pPr>
        <w:pStyle w:val="BodyText"/>
        <w:bidi w:val="0"/>
        <w:jc w:val="left"/>
        <w:rPr/>
      </w:pPr>
      <w:r>
        <w:rPr/>
        <w:t>Settings now carries a module code table. Full QCTO identifiers such as </w:t>
      </w:r>
      <w:r>
        <w:rPr>
          <w:rFonts w:ascii="Liberation Mono" w:hAnsi="Liberation Mono"/>
        </w:rPr>
        <w:t>242303-001-00-KM-01</w:t>
      </w:r>
      <w:r>
        <w:rPr/>
        <w:t xml:space="preserve"> are read by rule, and spelling variants such as </w:t>
      </w:r>
      <w:r>
        <w:rPr>
          <w:rFonts w:ascii="Liberation Mono" w:hAnsi="Liberation Mono"/>
        </w:rPr>
        <w:t>KM1</w:t>
      </w:r>
      <w:r>
        <w:rPr/>
        <w:t xml:space="preserve"> and </w:t>
      </w:r>
      <w:r>
        <w:rPr>
          <w:rFonts w:ascii="Liberation Mono" w:hAnsi="Liberation Mono"/>
        </w:rPr>
        <w:t>K01</w:t>
      </w:r>
      <w:r>
        <w:rPr/>
        <w:t xml:space="preserve"> are generated for confirmation. Curiosa's own documents use five different spellings of the same fifteen modules.</w:t>
      </w:r>
    </w:p>
    <w:p>
      <w:pPr>
        <w:pStyle w:val="Heading3"/>
        <w:bidi w:val="0"/>
        <w:ind w:hanging="0" w:left="0"/>
        <w:jc w:val="left"/>
        <w:rPr/>
      </w:pPr>
      <w:r>
        <w:rPr/>
        <w:t>5.2 The AI extension is dropped from qualification upload</w:t>
      </w:r>
    </w:p>
    <w:p>
      <w:pPr>
        <w:pStyle w:val="BodyText"/>
        <w:bidi w:val="0"/>
        <w:jc w:val="left"/>
        <w:rPr/>
      </w:pPr>
      <w:r>
        <w:rPr>
          <w:b/>
        </w:rPr>
        <w:t>Decision:</w:t>
      </w:r>
      <w:r>
        <w:rPr/>
        <w:t xml:space="preserve"> Roland, 21 September.</w:t>
      </w:r>
    </w:p>
    <w:p>
      <w:pPr>
        <w:pStyle w:val="BodyText"/>
        <w:bidi w:val="0"/>
        <w:jc w:val="left"/>
        <w:rPr/>
      </w:pPr>
      <w:r>
        <w:rPr/>
        <w:t>The AI extension does not read a folder accurately enough. On 20 September it found 331 of 121151's 503 curriculum lines, against 503 for the deterministic parser. The top option, reading the documents directly, is the route to use.</w:t>
      </w:r>
    </w:p>
    <w:p>
      <w:pPr>
        <w:pStyle w:val="BodyText"/>
        <w:bidi w:val="0"/>
        <w:jc w:val="left"/>
        <w:rPr/>
      </w:pPr>
      <w:r>
        <w:rPr>
          <w:b/>
        </w:rPr>
        <w:t>Open question.</w:t>
      </w:r>
      <w:r>
        <w:rPr/>
        <w:t xml:space="preserve"> The AI extension </w:t>
      </w:r>
      <w:r>
        <w:rPr/>
        <w:t>will</w:t>
      </w:r>
      <w:r>
        <w:rPr/>
        <w:t xml:space="preserve"> be reused in the NBTC Management Dashboard once proven here. It has been proven here </w:t>
      </w:r>
      <w:r>
        <w:rPr/>
        <w:t>for NBTC purposes</w:t>
      </w:r>
      <w:r>
        <w:rPr/>
        <w:t xml:space="preserve">. </w:t>
      </w:r>
      <w:r>
        <w:rPr>
          <w:strike/>
        </w:rPr>
        <w:t xml:space="preserve">Whether that plan survives is a separate decision, and </w:t>
      </w:r>
      <w:r>
        <w:rPr>
          <w:rFonts w:ascii="Liberation Mono" w:hAnsi="Liberation Mono"/>
          <w:strike/>
        </w:rPr>
        <w:t>AI-EXTENSION.md</w:t>
      </w:r>
      <w:r>
        <w:rPr>
          <w:strike/>
        </w:rPr>
        <w:t xml:space="preserve"> still holds the portable design if it does.</w:t>
      </w:r>
      <w:r>
        <w:rPr/>
        <w:t xml:space="preserve"> The blueprint route in </w:t>
      </w:r>
      <w:r>
        <w:rPr>
          <w:rFonts w:ascii="Liberation Mono" w:hAnsi="Liberation Mono"/>
        </w:rPr>
        <w:t>FOLDER-BLUEPRINT.md</w:t>
      </w:r>
      <w:r>
        <w:rPr/>
        <w:t xml:space="preserve"> removes the need for a model entirely where a folder describes itself, which is the better answer for qualification upload. </w:t>
      </w:r>
      <w:r>
        <w:rPr/>
        <w:t>The blueprint route must be properly explained to Roland and he must test it.</w:t>
      </w:r>
    </w:p>
    <w:p>
      <w:pPr>
        <w:pStyle w:val="Heading3"/>
        <w:bidi w:val="0"/>
        <w:ind w:hanging="0" w:left="0"/>
        <w:jc w:val="left"/>
        <w:rPr/>
      </w:pPr>
      <w:r>
        <w:rPr/>
        <w:t>5.3 Navigation after upload stops abruptly</w:t>
      </w:r>
    </w:p>
    <w:p>
      <w:pPr>
        <w:pStyle w:val="BodyText"/>
        <w:bidi w:val="0"/>
        <w:jc w:val="left"/>
        <w:rPr/>
      </w:pPr>
      <w:r>
        <w:rPr>
          <w:b/>
        </w:rPr>
        <w:t>Status:</w:t>
      </w:r>
      <w:r>
        <w:rPr/>
        <w:t xml:space="preserve"> partly done, 21 September.</w:t>
      </w:r>
    </w:p>
    <w:p>
      <w:pPr>
        <w:pStyle w:val="BodyText"/>
        <w:bidi w:val="0"/>
        <w:jc w:val="left"/>
        <w:rPr/>
      </w:pPr>
      <w:r>
        <w:rPr/>
        <w:t>Document upload now ends with buttons rather than a message and a dead end, and the progress map carries a fourth step for workbooks and assessments. Heidi's review on Monday will show whether it is enough.</w:t>
      </w:r>
    </w:p>
    <w:p>
      <w:pPr>
        <w:pStyle w:val="Heading3"/>
        <w:bidi w:val="0"/>
        <w:ind w:hanging="0" w:left="0"/>
        <w:jc w:val="left"/>
        <w:rPr/>
      </w:pPr>
      <w:r>
        <w:rPr/>
        <w:t>5.4 Google Drive</w:t>
      </w:r>
    </w:p>
    <w:p>
      <w:pPr>
        <w:pStyle w:val="BodyText"/>
        <w:bidi w:val="0"/>
        <w:jc w:val="left"/>
        <w:rPr/>
      </w:pPr>
      <w:r>
        <w:rPr>
          <w:b/>
        </w:rPr>
        <w:t>Status:</w:t>
      </w:r>
      <w:r>
        <w:rPr/>
        <w:t xml:space="preserve"> parked, 21 September.</w:t>
      </w:r>
    </w:p>
    <w:p>
      <w:pPr>
        <w:pStyle w:val="BodyText"/>
        <w:bidi w:val="0"/>
        <w:jc w:val="left"/>
        <w:rPr/>
      </w:pPr>
      <w:r>
        <w:rPr/>
        <w:t>Native Google Docs and Sheets return no content when read unless they are exported first. Heidi confirmed that every Curiosa document is created in desktop Word and Excel, so the case does not arise for them. Heidi will download to the desktop and upload from there. Nothing further is needed now.</w:t>
      </w:r>
    </w:p>
    <w:p>
      <w:pPr>
        <w:pStyle w:val="HorizontalLine"/>
        <w:bidi w:val="0"/>
        <w:jc w:val="left"/>
        <w:rPr/>
      </w:pPr>
      <w:r>
        <w:rPr/>
      </w:r>
    </w:p>
    <w:p>
      <w:pPr>
        <w:pStyle w:val="Heading2"/>
        <w:bidi w:val="0"/>
        <w:ind w:hanging="0" w:left="0"/>
        <w:jc w:val="left"/>
        <w:rPr/>
      </w:pPr>
      <w:r>
        <w:rPr/>
        <w:t>6. Tenant flexibility</w:t>
      </w:r>
    </w:p>
    <w:p>
      <w:pPr>
        <w:pStyle w:val="BodyText"/>
        <w:bidi w:val="0"/>
        <w:jc w:val="left"/>
        <w:rPr/>
      </w:pPr>
      <w:r>
        <w:rPr>
          <w:b/>
        </w:rPr>
        <w:t>Decision:</w:t>
      </w:r>
      <w:r>
        <w:rPr/>
        <w:t xml:space="preserve"> Roland, 21 September afternoon. </w:t>
      </w:r>
      <w:r>
        <w:rPr>
          <w:b/>
        </w:rPr>
        <w:t>Status:</w:t>
      </w:r>
      <w:r>
        <w:rPr/>
        <w:t xml:space="preserve"> starting now.</w:t>
      </w:r>
    </w:p>
    <w:p>
      <w:pPr>
        <w:pStyle w:val="BodyText"/>
        <w:bidi w:val="0"/>
        <w:jc w:val="left"/>
        <w:rPr/>
      </w:pPr>
      <w:r>
        <w:rPr/>
        <w:t>The platform must fit clients who are not Curiosa: not all in South Africa, and not all seeking accreditation. A corporate client may want a course for employees and nothing else. A corporate client may equally be accredited to offer a qualification, as ROFT's prospective Ranger clients would be. The switch is therefore about what a tenant does, never about what kind of organisation it is.</w:t>
      </w:r>
    </w:p>
    <w:p>
      <w:pPr>
        <w:pStyle w:val="BodyText"/>
        <w:bidi w:val="0"/>
        <w:jc w:val="left"/>
        <w:rPr/>
      </w:pPr>
      <w:r>
        <w:rPr/>
        <w:t>Five capability switches, each independent:</w:t>
      </w:r>
    </w:p>
    <w:tbl>
      <w:tblPr>
        <w:tblW w:w="5000" w:type="pct"/>
        <w:jc w:val="left"/>
        <w:tblInd w:w="55" w:type="dxa"/>
        <w:tblLayout w:type="fixed"/>
        <w:tblCellMar>
          <w:top w:w="55" w:type="dxa"/>
          <w:left w:w="55" w:type="dxa"/>
          <w:bottom w:w="55" w:type="dxa"/>
          <w:right w:w="55" w:type="dxa"/>
        </w:tblCellMar>
      </w:tblPr>
      <w:tblGrid>
        <w:gridCol w:w="4819"/>
        <w:gridCol w:w="4819"/>
      </w:tblGrid>
      <w:tr>
        <w:trPr>
          <w:tblHeader w:val="true"/>
        </w:trPr>
        <w:tc>
          <w:tcPr>
            <w:tcW w:w="4819" w:type="dxa"/>
            <w:tcBorders>
              <w:top w:val="single" w:sz="4" w:space="0" w:color="000000"/>
              <w:left w:val="single" w:sz="4" w:space="0" w:color="000000"/>
              <w:bottom w:val="single" w:sz="4" w:space="0" w:color="000000"/>
            </w:tcBorders>
          </w:tcPr>
          <w:p>
            <w:pPr>
              <w:pStyle w:val="TableHeading"/>
              <w:bidi w:val="0"/>
              <w:jc w:val="left"/>
              <w:rPr/>
            </w:pPr>
            <w:r>
              <w:rPr/>
              <w:t>Switch</w:t>
            </w:r>
          </w:p>
        </w:tc>
        <w:tc>
          <w:tcPr>
            <w:tcW w:w="4819" w:type="dxa"/>
            <w:tcBorders>
              <w:top w:val="single" w:sz="4" w:space="0" w:color="000000"/>
              <w:left w:val="single" w:sz="4" w:space="0" w:color="000000"/>
              <w:bottom w:val="single" w:sz="4" w:space="0" w:color="000000"/>
              <w:right w:val="single" w:sz="4" w:space="0" w:color="000000"/>
            </w:tcBorders>
          </w:tcPr>
          <w:p>
            <w:pPr>
              <w:pStyle w:val="TableHeading"/>
              <w:bidi w:val="0"/>
              <w:jc w:val="left"/>
              <w:rPr/>
            </w:pPr>
            <w:r>
              <w:rPr/>
              <w:t>What it governs</w:t>
            </w:r>
          </w:p>
        </w:tc>
      </w:tr>
      <w:tr>
        <w:trPr/>
        <w:tc>
          <w:tcPr>
            <w:tcW w:w="4819" w:type="dxa"/>
            <w:tcBorders>
              <w:left w:val="single" w:sz="4" w:space="0" w:color="000000"/>
              <w:bottom w:val="single" w:sz="4" w:space="0" w:color="000000"/>
            </w:tcBorders>
          </w:tcPr>
          <w:p>
            <w:pPr>
              <w:pStyle w:val="TableContents"/>
              <w:bidi w:val="0"/>
              <w:jc w:val="left"/>
              <w:rPr/>
            </w:pPr>
            <w:r>
              <w:rPr/>
              <w:t>Accredited qualifications</w:t>
            </w:r>
          </w:p>
        </w:tc>
        <w:tc>
          <w:tcPr>
            <w:tcW w:w="4819" w:type="dxa"/>
            <w:tcBorders>
              <w:left w:val="single" w:sz="4" w:space="0" w:color="000000"/>
              <w:bottom w:val="single" w:sz="4" w:space="0" w:color="000000"/>
              <w:right w:val="single" w:sz="4" w:space="0" w:color="000000"/>
            </w:tcBorders>
          </w:tcPr>
          <w:p>
            <w:pPr>
              <w:pStyle w:val="TableContents"/>
              <w:bidi w:val="0"/>
              <w:jc w:val="left"/>
              <w:rPr/>
            </w:pPr>
            <w:r>
              <w:rPr/>
              <w:t>Curriculum, assessment criteria, EISA, statements of results</w:t>
            </w:r>
          </w:p>
        </w:tc>
      </w:tr>
      <w:tr>
        <w:trPr/>
        <w:tc>
          <w:tcPr>
            <w:tcW w:w="4819" w:type="dxa"/>
            <w:tcBorders>
              <w:left w:val="single" w:sz="4" w:space="0" w:color="000000"/>
              <w:bottom w:val="single" w:sz="4" w:space="0" w:color="000000"/>
            </w:tcBorders>
          </w:tcPr>
          <w:p>
            <w:pPr>
              <w:pStyle w:val="TableContents"/>
              <w:bidi w:val="0"/>
              <w:jc w:val="left"/>
              <w:rPr/>
            </w:pPr>
            <w:r>
              <w:rPr/>
              <w:t>Study units</w:t>
            </w:r>
          </w:p>
        </w:tc>
        <w:tc>
          <w:tcPr>
            <w:tcW w:w="4819" w:type="dxa"/>
            <w:tcBorders>
              <w:left w:val="single" w:sz="4" w:space="0" w:color="000000"/>
              <w:bottom w:val="single" w:sz="4" w:space="0" w:color="000000"/>
              <w:right w:val="single" w:sz="4" w:space="0" w:color="000000"/>
            </w:tcBorders>
          </w:tcPr>
          <w:p>
            <w:pPr>
              <w:pStyle w:val="TableContents"/>
              <w:bidi w:val="0"/>
              <w:jc w:val="left"/>
              <w:rPr/>
            </w:pPr>
            <w:r>
              <w:rPr/>
              <w:t>The QCTO grouping between a qualification and its material</w:t>
            </w:r>
          </w:p>
        </w:tc>
      </w:tr>
      <w:tr>
        <w:trPr/>
        <w:tc>
          <w:tcPr>
            <w:tcW w:w="4819" w:type="dxa"/>
            <w:tcBorders>
              <w:left w:val="single" w:sz="4" w:space="0" w:color="000000"/>
              <w:bottom w:val="single" w:sz="4" w:space="0" w:color="000000"/>
            </w:tcBorders>
          </w:tcPr>
          <w:p>
            <w:pPr>
              <w:pStyle w:val="TableContents"/>
              <w:bidi w:val="0"/>
              <w:jc w:val="left"/>
              <w:rPr/>
            </w:pPr>
            <w:r>
              <w:rPr/>
              <w:t>Programmes</w:t>
            </w:r>
          </w:p>
        </w:tc>
        <w:tc>
          <w:tcPr>
            <w:tcW w:w="4819" w:type="dxa"/>
            <w:tcBorders>
              <w:left w:val="single" w:sz="4" w:space="0" w:color="000000"/>
              <w:bottom w:val="single" w:sz="4" w:space="0" w:color="000000"/>
              <w:right w:val="single" w:sz="4" w:space="0" w:color="000000"/>
            </w:tcBorders>
          </w:tcPr>
          <w:p>
            <w:pPr>
              <w:pStyle w:val="TableContents"/>
              <w:bidi w:val="0"/>
              <w:jc w:val="left"/>
              <w:rPr/>
            </w:pPr>
            <w:r>
              <w:rPr/>
              <w:t>Bundling deliverables into an ordered sequence</w:t>
            </w:r>
          </w:p>
        </w:tc>
      </w:tr>
      <w:tr>
        <w:trPr/>
        <w:tc>
          <w:tcPr>
            <w:tcW w:w="4819" w:type="dxa"/>
            <w:tcBorders>
              <w:left w:val="single" w:sz="4" w:space="0" w:color="000000"/>
              <w:bottom w:val="single" w:sz="4" w:space="0" w:color="000000"/>
            </w:tcBorders>
          </w:tcPr>
          <w:p>
            <w:pPr>
              <w:pStyle w:val="TableContents"/>
              <w:bidi w:val="0"/>
              <w:jc w:val="left"/>
              <w:rPr/>
            </w:pPr>
            <w:r>
              <w:rPr/>
              <w:t>Statutory reporting</w:t>
            </w:r>
          </w:p>
        </w:tc>
        <w:tc>
          <w:tcPr>
            <w:tcW w:w="4819" w:type="dxa"/>
            <w:tcBorders>
              <w:left w:val="single" w:sz="4" w:space="0" w:color="000000"/>
              <w:bottom w:val="single" w:sz="4" w:space="0" w:color="000000"/>
              <w:right w:val="single" w:sz="4" w:space="0" w:color="000000"/>
            </w:tcBorders>
          </w:tcPr>
          <w:p>
            <w:pPr>
              <w:pStyle w:val="TableContents"/>
              <w:bidi w:val="0"/>
              <w:jc w:val="left"/>
              <w:rPr/>
            </w:pPr>
            <w:r>
              <w:rPr/>
              <w:t>NLRD, WSP and ATR</w:t>
            </w:r>
          </w:p>
        </w:tc>
      </w:tr>
      <w:tr>
        <w:trPr/>
        <w:tc>
          <w:tcPr>
            <w:tcW w:w="4819" w:type="dxa"/>
            <w:tcBorders>
              <w:left w:val="single" w:sz="4" w:space="0" w:color="000000"/>
              <w:bottom w:val="single" w:sz="4" w:space="0" w:color="000000"/>
            </w:tcBorders>
          </w:tcPr>
          <w:p>
            <w:pPr>
              <w:pStyle w:val="TableContents"/>
              <w:bidi w:val="0"/>
              <w:jc w:val="left"/>
              <w:rPr/>
            </w:pPr>
            <w:r>
              <w:rPr/>
              <w:t>Workplace experience</w:t>
            </w:r>
          </w:p>
        </w:tc>
        <w:tc>
          <w:tcPr>
            <w:tcW w:w="4819" w:type="dxa"/>
            <w:tcBorders>
              <w:left w:val="single" w:sz="4" w:space="0" w:color="000000"/>
              <w:bottom w:val="single" w:sz="4" w:space="0" w:color="000000"/>
              <w:right w:val="single" w:sz="4" w:space="0" w:color="000000"/>
            </w:tcBorders>
          </w:tcPr>
          <w:p>
            <w:pPr>
              <w:pStyle w:val="TableContents"/>
              <w:bidi w:val="0"/>
              <w:jc w:val="left"/>
              <w:rPr/>
            </w:pPr>
            <w:r>
              <w:rPr/>
              <w:t>Coach sign off, workplace agreements</w:t>
            </w:r>
          </w:p>
        </w:tc>
      </w:tr>
    </w:tbl>
    <w:p>
      <w:pPr>
        <w:pStyle w:val="BodyText"/>
        <w:bidi w:val="0"/>
        <w:jc w:val="left"/>
        <w:rPr/>
      </w:pPr>
      <w:r>
        <w:rPr/>
      </w:r>
    </w:p>
    <w:p>
      <w:pPr>
        <w:pStyle w:val="BodyText"/>
        <w:bidi w:val="0"/>
        <w:jc w:val="left"/>
        <w:rPr/>
      </w:pPr>
      <w:r>
        <w:rPr/>
        <w:t>Three things make this work, and only one of them is missing:</w:t>
      </w:r>
    </w:p>
    <w:p>
      <w:pPr>
        <w:pStyle w:val="BodyText"/>
        <w:numPr>
          <w:ilvl w:val="0"/>
          <w:numId w:val="4"/>
        </w:numPr>
        <w:tabs>
          <w:tab w:val="clear" w:pos="709"/>
          <w:tab w:val="left" w:pos="709" w:leader="none"/>
        </w:tabs>
        <w:bidi w:val="0"/>
        <w:ind w:hanging="283" w:left="709"/>
        <w:jc w:val="left"/>
        <w:rPr/>
      </w:pPr>
      <w:r>
        <w:rPr>
          <w:b/>
        </w:rPr>
        <w:t>Terminology</w:t>
      </w:r>
      <w:r>
        <w:rPr/>
        <w:t xml:space="preserve"> already exists per tenant, with a Settings screen. Curiosa have set none, which is why the menu still says Courses to a provider who does not use the word.</w:t>
      </w:r>
    </w:p>
    <w:p>
      <w:pPr>
        <w:pStyle w:val="BodyText"/>
        <w:numPr>
          <w:ilvl w:val="0"/>
          <w:numId w:val="4"/>
        </w:numPr>
        <w:tabs>
          <w:tab w:val="clear" w:pos="709"/>
          <w:tab w:val="left" w:pos="709" w:leader="none"/>
        </w:tabs>
        <w:bidi w:val="0"/>
        <w:ind w:hanging="283" w:left="709"/>
        <w:jc w:val="left"/>
        <w:rPr/>
      </w:pPr>
      <w:r>
        <w:rPr>
          <w:b/>
        </w:rPr>
        <w:t>Navigation</w:t>
      </w:r>
      <w:r>
        <w:rPr/>
        <w:t xml:space="preserve"> already exists per tenant, with an editor.</w:t>
      </w:r>
    </w:p>
    <w:p>
      <w:pPr>
        <w:pStyle w:val="BodyText"/>
        <w:numPr>
          <w:ilvl w:val="0"/>
          <w:numId w:val="4"/>
        </w:numPr>
        <w:tabs>
          <w:tab w:val="clear" w:pos="709"/>
          <w:tab w:val="left" w:pos="709" w:leader="none"/>
        </w:tabs>
        <w:bidi w:val="0"/>
        <w:ind w:hanging="283" w:left="709"/>
        <w:jc w:val="left"/>
        <w:rPr/>
      </w:pPr>
      <w:r>
        <w:rPr>
          <w:b/>
        </w:rPr>
        <w:t>Feature flags</w:t>
      </w:r>
      <w:r>
        <w:rPr/>
        <w:t xml:space="preserve"> exist as a form and a database column and are </w:t>
      </w:r>
      <w:r>
        <w:rPr>
          <w:b/>
        </w:rPr>
        <w:t>read by</w:t>
      </w:r>
      <w:r>
        <w:rPr/>
        <w:t> </w:t>
      </w:r>
      <w:r>
        <w:rPr>
          <w:b/>
        </w:rPr>
        <w:t>nothing</w:t>
      </w:r>
      <w:r>
        <w:rPr/>
        <w:t>. A tenant created with learning paths switched off still sees the Programmes menu. That is the gap.</w:t>
      </w:r>
    </w:p>
    <w:p>
      <w:pPr>
        <w:pStyle w:val="BodyText"/>
        <w:bidi w:val="0"/>
        <w:jc w:val="left"/>
        <w:rPr/>
      </w:pPr>
      <w:r>
        <w:rPr/>
        <w:t>The structure itself does not change. Roland's working paper of 28 August, </w:t>
      </w:r>
      <w:r>
        <w:rPr>
          <w:i/>
        </w:rPr>
        <w:t>Qualification, Course and Programme</w:t>
      </w:r>
      <w:r>
        <w:rPr/>
        <w:t>, checked the three tier model against SAQA, DHET, the QCTO, Ofqual, the US CEDS standard, Moodle Workplace, Coursera and edX. None of the seven collapses the atomic teaching unit into the bundle above it, and four publish gates in the code depend on Course and Programme staying separate. What changes is what each tenant sees and what each tenant calls it.</w:t>
      </w:r>
    </w:p>
    <w:p>
      <w:pPr>
        <w:pStyle w:val="BodyText"/>
        <w:bidi w:val="0"/>
        <w:jc w:val="left"/>
        <w:rPr/>
      </w:pPr>
      <w:r>
        <w:rPr/>
        <w:t>Curiosa's configuration becomes one instance of that: qualification and programme, study units, everything else hidden.</w:t>
      </w:r>
    </w:p>
    <w:p>
      <w:pPr>
        <w:pStyle w:val="Heading3"/>
        <w:bidi w:val="0"/>
        <w:ind w:hanging="0" w:left="0"/>
        <w:jc w:val="left"/>
        <w:rPr/>
      </w:pPr>
      <w:r>
        <w:rPr/>
        <w:t>6.1 Retire "Learning paths"</w:t>
      </w:r>
    </w:p>
    <w:p>
      <w:pPr>
        <w:pStyle w:val="BodyText"/>
        <w:bidi w:val="0"/>
        <w:jc w:val="left"/>
        <w:rPr/>
      </w:pPr>
      <w:r>
        <w:rPr/>
        <w:t xml:space="preserve">The 28 August paper recommended standardising on Programme and retiring learning path to a first use synonym at most. The interface is consistent already. The tenant creation form still offers a checkbox labelled </w:t>
      </w:r>
      <w:r>
        <w:rPr>
          <w:b/>
        </w:rPr>
        <w:t>Learning</w:t>
      </w:r>
      <w:r>
        <w:rPr/>
        <w:t> </w:t>
      </w:r>
      <w:r>
        <w:rPr>
          <w:b/>
        </w:rPr>
        <w:t>paths</w:t>
      </w:r>
      <w:r>
        <w:rPr/>
        <w:t>, which is the one place a new tenant meets the retired word.</w:t>
      </w:r>
    </w:p>
    <w:p>
      <w:pPr>
        <w:pStyle w:val="HorizontalLine"/>
        <w:bidi w:val="0"/>
        <w:jc w:val="left"/>
        <w:rPr/>
      </w:pPr>
      <w:r>
        <w:rPr/>
      </w:r>
    </w:p>
    <w:p>
      <w:pPr>
        <w:pStyle w:val="Heading2"/>
        <w:bidi w:val="0"/>
        <w:ind w:hanging="0" w:left="0"/>
        <w:jc w:val="left"/>
        <w:rPr/>
      </w:pPr>
      <w:r>
        <w:rPr/>
        <w:t>7. Commercial items, for the record</w:t>
      </w:r>
    </w:p>
    <w:p>
      <w:pPr>
        <w:pStyle w:val="BodyText"/>
        <w:bidi w:val="0"/>
        <w:jc w:val="left"/>
        <w:rPr/>
      </w:pPr>
      <w:r>
        <w:rPr/>
        <w:t>Not development work, recorded so the sheet holds the whole meeting.</w:t>
      </w:r>
    </w:p>
    <w:p>
      <w:pPr>
        <w:pStyle w:val="BodyText"/>
        <w:numPr>
          <w:ilvl w:val="0"/>
          <w:numId w:val="5"/>
        </w:numPr>
        <w:tabs>
          <w:tab w:val="clear" w:pos="709"/>
          <w:tab w:val="left" w:pos="709" w:leader="none"/>
        </w:tabs>
        <w:bidi w:val="0"/>
        <w:ind w:hanging="283" w:left="709"/>
        <w:jc w:val="left"/>
        <w:rPr/>
      </w:pPr>
      <w:r>
        <w:rPr>
          <w:b/>
        </w:rPr>
        <w:t>First ten clients.</w:t>
      </w:r>
      <w:r>
        <w:rPr/>
        <w:t xml:space="preserve"> Curiosa will run qualification uploads for the first ten clients at an included price, so the work is fully scoped before clients do it themselves. Clients who upload their own get support at an added cost.</w:t>
      </w:r>
    </w:p>
    <w:p>
      <w:pPr>
        <w:pStyle w:val="BodyText"/>
        <w:numPr>
          <w:ilvl w:val="0"/>
          <w:numId w:val="5"/>
        </w:numPr>
        <w:tabs>
          <w:tab w:val="clear" w:pos="709"/>
          <w:tab w:val="left" w:pos="709" w:leader="none"/>
        </w:tabs>
        <w:bidi w:val="0"/>
        <w:ind w:hanging="283" w:left="709"/>
        <w:jc w:val="left"/>
        <w:rPr/>
      </w:pPr>
      <w:r>
        <w:rPr>
          <w:b/>
        </w:rPr>
        <w:t>Handover documents.</w:t>
      </w:r>
      <w:r>
        <w:rPr/>
        <w:t xml:space="preserve"> A full set of how to documents goes to a client before a tenancy is handed over.</w:t>
      </w:r>
    </w:p>
    <w:p>
      <w:pPr>
        <w:pStyle w:val="BodyText"/>
        <w:numPr>
          <w:ilvl w:val="0"/>
          <w:numId w:val="5"/>
        </w:numPr>
        <w:tabs>
          <w:tab w:val="clear" w:pos="709"/>
          <w:tab w:val="left" w:pos="709" w:leader="none"/>
        </w:tabs>
        <w:bidi w:val="0"/>
        <w:ind w:hanging="283" w:left="709"/>
        <w:jc w:val="left"/>
        <w:rPr/>
      </w:pPr>
      <w:r>
        <w:rPr>
          <w:b/>
        </w:rPr>
        <w:t>New client.</w:t>
      </w:r>
      <w:r>
        <w:rPr/>
        <w:t xml:space="preserve"> An HR company in Heidi's building has asked for accreditation, with quotes both with and without the LMS, and an invoice on Friday.</w:t>
      </w:r>
    </w:p>
    <w:p>
      <w:pPr>
        <w:pStyle w:val="HorizontalLine"/>
        <w:bidi w:val="0"/>
        <w:jc w:val="left"/>
        <w:rPr/>
      </w:pPr>
      <w:r>
        <w:rPr/>
      </w:r>
    </w:p>
    <w:p>
      <w:pPr>
        <w:pStyle w:val="Heading2"/>
        <w:bidi w:val="0"/>
        <w:ind w:hanging="0" w:left="0"/>
        <w:jc w:val="left"/>
        <w:rPr/>
      </w:pPr>
      <w:r>
        <w:rPr/>
        <w:t>8. House style for generated text</w:t>
      </w:r>
    </w:p>
    <w:p>
      <w:pPr>
        <w:pStyle w:val="BodyText"/>
        <w:bidi w:val="0"/>
        <w:jc w:val="left"/>
        <w:rPr/>
      </w:pPr>
      <w:r>
        <w:rPr>
          <w:b/>
        </w:rPr>
        <w:t>Instruction:</w:t>
      </w:r>
      <w:r>
        <w:rPr/>
        <w:t xml:space="preserve"> Heidi, through Roland, 21 September.</w:t>
      </w:r>
    </w:p>
    <w:p>
      <w:pPr>
        <w:pStyle w:val="BodyText"/>
        <w:bidi w:val="0"/>
        <w:jc w:val="left"/>
        <w:rPr/>
      </w:pPr>
      <w:r>
        <w:rPr/>
        <w:t xml:space="preserve">Claude must not start a sentence with a conjunction such as "and" or "but", and must not use em dashes. This applies to screen copy, error messages, generated documents and reports. It is recorded in </w:t>
      </w:r>
      <w:r>
        <w:rPr>
          <w:rFonts w:ascii="Liberation Mono" w:hAnsi="Liberation Mono"/>
        </w:rPr>
        <w:t>CLAUDE.md</w:t>
      </w:r>
      <w:r>
        <w:rPr/>
        <w:t xml:space="preserve"> so it survives between sessions.</w:t>
      </w:r>
    </w:p>
    <w:p>
      <w:pPr>
        <w:pStyle w:val="HorizontalLine"/>
        <w:bidi w:val="0"/>
        <w:jc w:val="left"/>
        <w:rPr/>
      </w:pPr>
      <w:r>
        <w:rPr/>
      </w:r>
    </w:p>
    <w:p>
      <w:pPr>
        <w:pStyle w:val="Heading2"/>
        <w:bidi w:val="0"/>
        <w:ind w:hanging="0" w:left="0"/>
        <w:jc w:val="left"/>
        <w:rPr/>
      </w:pPr>
      <w:r>
        <w:rPr/>
        <w:t>What is already done</w:t>
      </w:r>
    </w:p>
    <w:p>
      <w:pPr>
        <w:pStyle w:val="BodyText"/>
        <w:bidi w:val="0"/>
        <w:jc w:val="left"/>
        <w:rPr/>
      </w:pPr>
      <w:r>
        <w:rPr/>
        <w:t>For completeness, since much of this sheet describes work finished on the day of the meeting.</w:t>
      </w:r>
    </w:p>
    <w:tbl>
      <w:tblPr>
        <w:tblW w:w="5000" w:type="pct"/>
        <w:jc w:val="left"/>
        <w:tblInd w:w="55" w:type="dxa"/>
        <w:tblLayout w:type="fixed"/>
        <w:tblCellMar>
          <w:top w:w="55" w:type="dxa"/>
          <w:left w:w="55" w:type="dxa"/>
          <w:bottom w:w="55" w:type="dxa"/>
          <w:right w:w="55" w:type="dxa"/>
        </w:tblCellMar>
      </w:tblPr>
      <w:tblGrid>
        <w:gridCol w:w="4819"/>
        <w:gridCol w:w="4819"/>
      </w:tblGrid>
      <w:tr>
        <w:trPr>
          <w:tblHeader w:val="true"/>
        </w:trPr>
        <w:tc>
          <w:tcPr>
            <w:tcW w:w="4819" w:type="dxa"/>
            <w:tcBorders>
              <w:top w:val="single" w:sz="4" w:space="0" w:color="000000"/>
              <w:left w:val="single" w:sz="4" w:space="0" w:color="000000"/>
              <w:bottom w:val="single" w:sz="4" w:space="0" w:color="000000"/>
            </w:tcBorders>
          </w:tcPr>
          <w:p>
            <w:pPr>
              <w:pStyle w:val="TableHeading"/>
              <w:bidi w:val="0"/>
              <w:jc w:val="left"/>
              <w:rPr/>
            </w:pPr>
            <w:r>
              <w:rPr/>
              <w:t>Item</w:t>
            </w:r>
          </w:p>
        </w:tc>
        <w:tc>
          <w:tcPr>
            <w:tcW w:w="4819" w:type="dxa"/>
            <w:tcBorders>
              <w:top w:val="single" w:sz="4" w:space="0" w:color="000000"/>
              <w:left w:val="single" w:sz="4" w:space="0" w:color="000000"/>
              <w:bottom w:val="single" w:sz="4" w:space="0" w:color="000000"/>
              <w:right w:val="single" w:sz="4" w:space="0" w:color="000000"/>
            </w:tcBorders>
          </w:tcPr>
          <w:p>
            <w:pPr>
              <w:pStyle w:val="TableHeading"/>
              <w:bidi w:val="0"/>
              <w:jc w:val="left"/>
              <w:rPr/>
            </w:pPr>
            <w:r>
              <w:rPr/>
              <w:t>State</w:t>
            </w:r>
          </w:p>
        </w:tc>
      </w:tr>
      <w:tr>
        <w:trPr/>
        <w:tc>
          <w:tcPr>
            <w:tcW w:w="4819" w:type="dxa"/>
            <w:tcBorders>
              <w:left w:val="single" w:sz="4" w:space="0" w:color="000000"/>
              <w:bottom w:val="single" w:sz="4" w:space="0" w:color="000000"/>
            </w:tcBorders>
          </w:tcPr>
          <w:p>
            <w:pPr>
              <w:pStyle w:val="TableContents"/>
              <w:bidi w:val="0"/>
              <w:jc w:val="left"/>
              <w:rPr/>
            </w:pPr>
            <w:r>
              <w:rPr/>
              <w:t>Module code permutations, including full QCTO identifiers</w:t>
            </w:r>
          </w:p>
        </w:tc>
        <w:tc>
          <w:tcPr>
            <w:tcW w:w="4819" w:type="dxa"/>
            <w:tcBorders>
              <w:left w:val="single" w:sz="4" w:space="0" w:color="000000"/>
              <w:bottom w:val="single" w:sz="4" w:space="0" w:color="000000"/>
              <w:right w:val="single" w:sz="4" w:space="0" w:color="000000"/>
            </w:tcBorders>
          </w:tcPr>
          <w:p>
            <w:pPr>
              <w:pStyle w:val="TableContents"/>
              <w:bidi w:val="0"/>
              <w:jc w:val="left"/>
              <w:rPr/>
            </w:pPr>
            <w:r>
              <w:rPr/>
              <w:t>Done and deployed</w:t>
            </w:r>
          </w:p>
        </w:tc>
      </w:tr>
      <w:tr>
        <w:trPr/>
        <w:tc>
          <w:tcPr>
            <w:tcW w:w="4819" w:type="dxa"/>
            <w:tcBorders>
              <w:left w:val="single" w:sz="4" w:space="0" w:color="000000"/>
              <w:bottom w:val="single" w:sz="4" w:space="0" w:color="000000"/>
            </w:tcBorders>
          </w:tcPr>
          <w:p>
            <w:pPr>
              <w:pStyle w:val="TableContents"/>
              <w:bidi w:val="0"/>
              <w:jc w:val="left"/>
              <w:rPr/>
            </w:pPr>
            <w:r>
              <w:rPr/>
              <w:t>Backup retention, evidence archives by count</w:t>
            </w:r>
          </w:p>
        </w:tc>
        <w:tc>
          <w:tcPr>
            <w:tcW w:w="4819" w:type="dxa"/>
            <w:tcBorders>
              <w:left w:val="single" w:sz="4" w:space="0" w:color="000000"/>
              <w:bottom w:val="single" w:sz="4" w:space="0" w:color="000000"/>
              <w:right w:val="single" w:sz="4" w:space="0" w:color="000000"/>
            </w:tcBorders>
          </w:tcPr>
          <w:p>
            <w:pPr>
              <w:pStyle w:val="TableContents"/>
              <w:bidi w:val="0"/>
              <w:jc w:val="left"/>
              <w:rPr/>
            </w:pPr>
            <w:r>
              <w:rPr/>
              <w:t>Done and deployed</w:t>
            </w:r>
          </w:p>
        </w:tc>
      </w:tr>
      <w:tr>
        <w:trPr/>
        <w:tc>
          <w:tcPr>
            <w:tcW w:w="4819" w:type="dxa"/>
            <w:tcBorders>
              <w:left w:val="single" w:sz="4" w:space="0" w:color="000000"/>
              <w:bottom w:val="single" w:sz="4" w:space="0" w:color="000000"/>
            </w:tcBorders>
          </w:tcPr>
          <w:p>
            <w:pPr>
              <w:pStyle w:val="TableContents"/>
              <w:bidi w:val="0"/>
              <w:jc w:val="left"/>
              <w:rPr/>
            </w:pPr>
            <w:r>
              <w:rPr/>
              <w:t>Docker image retention by count</w:t>
            </w:r>
          </w:p>
        </w:tc>
        <w:tc>
          <w:tcPr>
            <w:tcW w:w="4819" w:type="dxa"/>
            <w:tcBorders>
              <w:left w:val="single" w:sz="4" w:space="0" w:color="000000"/>
              <w:bottom w:val="single" w:sz="4" w:space="0" w:color="000000"/>
              <w:right w:val="single" w:sz="4" w:space="0" w:color="000000"/>
            </w:tcBorders>
          </w:tcPr>
          <w:p>
            <w:pPr>
              <w:pStyle w:val="TableContents"/>
              <w:bidi w:val="0"/>
              <w:jc w:val="left"/>
              <w:rPr/>
            </w:pPr>
            <w:r>
              <w:rPr/>
              <w:t>Done, deploys with the next release</w:t>
            </w:r>
          </w:p>
        </w:tc>
      </w:tr>
      <w:tr>
        <w:trPr/>
        <w:tc>
          <w:tcPr>
            <w:tcW w:w="4819" w:type="dxa"/>
            <w:tcBorders>
              <w:left w:val="single" w:sz="4" w:space="0" w:color="000000"/>
              <w:bottom w:val="single" w:sz="4" w:space="0" w:color="000000"/>
            </w:tcBorders>
          </w:tcPr>
          <w:p>
            <w:pPr>
              <w:pStyle w:val="TableContents"/>
              <w:bidi w:val="0"/>
              <w:jc w:val="left"/>
              <w:rPr/>
            </w:pPr>
            <w:r>
              <w:rPr/>
              <w:t>Alignment document links all fifteen modules</w:t>
            </w:r>
          </w:p>
        </w:tc>
        <w:tc>
          <w:tcPr>
            <w:tcW w:w="4819" w:type="dxa"/>
            <w:tcBorders>
              <w:left w:val="single" w:sz="4" w:space="0" w:color="000000"/>
              <w:bottom w:val="single" w:sz="4" w:space="0" w:color="000000"/>
              <w:right w:val="single" w:sz="4" w:space="0" w:color="000000"/>
            </w:tcBorders>
          </w:tcPr>
          <w:p>
            <w:pPr>
              <w:pStyle w:val="TableContents"/>
              <w:bidi w:val="0"/>
              <w:jc w:val="left"/>
              <w:rPr/>
            </w:pPr>
            <w:r>
              <w:rPr/>
              <w:t>Done and deployed</w:t>
            </w:r>
          </w:p>
        </w:tc>
      </w:tr>
      <w:tr>
        <w:trPr/>
        <w:tc>
          <w:tcPr>
            <w:tcW w:w="4819" w:type="dxa"/>
            <w:tcBorders>
              <w:left w:val="single" w:sz="4" w:space="0" w:color="000000"/>
              <w:bottom w:val="single" w:sz="4" w:space="0" w:color="000000"/>
            </w:tcBorders>
          </w:tcPr>
          <w:p>
            <w:pPr>
              <w:pStyle w:val="TableContents"/>
              <w:bidi w:val="0"/>
              <w:jc w:val="left"/>
              <w:rPr/>
            </w:pPr>
            <w:r>
              <w:rPr/>
              <w:t>Navigation after document upload</w:t>
            </w:r>
          </w:p>
        </w:tc>
        <w:tc>
          <w:tcPr>
            <w:tcW w:w="4819" w:type="dxa"/>
            <w:tcBorders>
              <w:left w:val="single" w:sz="4" w:space="0" w:color="000000"/>
              <w:bottom w:val="single" w:sz="4" w:space="0" w:color="000000"/>
              <w:right w:val="single" w:sz="4" w:space="0" w:color="000000"/>
            </w:tcBorders>
          </w:tcPr>
          <w:p>
            <w:pPr>
              <w:pStyle w:val="TableContents"/>
              <w:bidi w:val="0"/>
              <w:jc w:val="left"/>
              <w:rPr/>
            </w:pPr>
            <w:r>
              <w:rPr/>
              <w:t>Done and deployed</w:t>
            </w:r>
          </w:p>
        </w:tc>
      </w:tr>
      <w:tr>
        <w:trPr/>
        <w:tc>
          <w:tcPr>
            <w:tcW w:w="4819" w:type="dxa"/>
            <w:tcBorders>
              <w:left w:val="single" w:sz="4" w:space="0" w:color="000000"/>
              <w:bottom w:val="single" w:sz="4" w:space="0" w:color="000000"/>
            </w:tcBorders>
          </w:tcPr>
          <w:p>
            <w:pPr>
              <w:pStyle w:val="TableContents"/>
              <w:bidi w:val="0"/>
              <w:jc w:val="left"/>
              <w:rPr/>
            </w:pPr>
            <w:r>
              <w:rPr/>
              <w:t>Progress map step for workbooks and assessments</w:t>
            </w:r>
          </w:p>
        </w:tc>
        <w:tc>
          <w:tcPr>
            <w:tcW w:w="4819" w:type="dxa"/>
            <w:tcBorders>
              <w:left w:val="single" w:sz="4" w:space="0" w:color="000000"/>
              <w:bottom w:val="single" w:sz="4" w:space="0" w:color="000000"/>
              <w:right w:val="single" w:sz="4" w:space="0" w:color="000000"/>
            </w:tcBorders>
          </w:tcPr>
          <w:p>
            <w:pPr>
              <w:pStyle w:val="TableContents"/>
              <w:bidi w:val="0"/>
              <w:jc w:val="left"/>
              <w:rPr/>
            </w:pPr>
            <w:r>
              <w:rPr/>
              <w:t>Done, deploys with the next release</w:t>
            </w:r>
          </w:p>
        </w:tc>
      </w:tr>
      <w:tr>
        <w:trPr/>
        <w:tc>
          <w:tcPr>
            <w:tcW w:w="4819" w:type="dxa"/>
            <w:tcBorders>
              <w:left w:val="single" w:sz="4" w:space="0" w:color="000000"/>
              <w:bottom w:val="single" w:sz="4" w:space="0" w:color="000000"/>
            </w:tcBorders>
          </w:tcPr>
          <w:p>
            <w:pPr>
              <w:pStyle w:val="TableContents"/>
              <w:bidi w:val="0"/>
              <w:jc w:val="left"/>
              <w:rPr/>
            </w:pPr>
            <w:r>
              <w:rPr/>
              <w:t>Capture from documents already filed</w:t>
            </w:r>
          </w:p>
        </w:tc>
        <w:tc>
          <w:tcPr>
            <w:tcW w:w="4819" w:type="dxa"/>
            <w:tcBorders>
              <w:left w:val="single" w:sz="4" w:space="0" w:color="000000"/>
              <w:bottom w:val="single" w:sz="4" w:space="0" w:color="000000"/>
              <w:right w:val="single" w:sz="4" w:space="0" w:color="000000"/>
            </w:tcBorders>
          </w:tcPr>
          <w:p>
            <w:pPr>
              <w:pStyle w:val="TableContents"/>
              <w:bidi w:val="0"/>
              <w:jc w:val="left"/>
              <w:rPr/>
            </w:pPr>
            <w:r>
              <w:rPr/>
              <w:t>Done, deploys with the next release</w:t>
            </w:r>
          </w:p>
        </w:tc>
      </w:tr>
      <w:tr>
        <w:trPr/>
        <w:tc>
          <w:tcPr>
            <w:tcW w:w="4819" w:type="dxa"/>
            <w:tcBorders>
              <w:left w:val="single" w:sz="4" w:space="0" w:color="000000"/>
              <w:bottom w:val="single" w:sz="4" w:space="0" w:color="000000"/>
            </w:tcBorders>
          </w:tcPr>
          <w:p>
            <w:pPr>
              <w:pStyle w:val="TableContents"/>
              <w:bidi w:val="0"/>
              <w:jc w:val="left"/>
              <w:rPr/>
            </w:pPr>
            <w:r>
              <w:rPr/>
              <w:t>Captured paper preview as a learner sees it</w:t>
            </w:r>
          </w:p>
        </w:tc>
        <w:tc>
          <w:tcPr>
            <w:tcW w:w="4819" w:type="dxa"/>
            <w:tcBorders>
              <w:left w:val="single" w:sz="4" w:space="0" w:color="000000"/>
              <w:bottom w:val="single" w:sz="4" w:space="0" w:color="000000"/>
              <w:right w:val="single" w:sz="4" w:space="0" w:color="000000"/>
            </w:tcBorders>
          </w:tcPr>
          <w:p>
            <w:pPr>
              <w:pStyle w:val="TableContents"/>
              <w:bidi w:val="0"/>
              <w:jc w:val="left"/>
              <w:rPr/>
            </w:pPr>
            <w:r>
              <w:rPr/>
              <w:t>Done and deployed</w:t>
            </w:r>
          </w:p>
        </w:tc>
      </w:tr>
      <w:tr>
        <w:trPr/>
        <w:tc>
          <w:tcPr>
            <w:tcW w:w="4819" w:type="dxa"/>
            <w:tcBorders>
              <w:left w:val="single" w:sz="4" w:space="0" w:color="000000"/>
              <w:bottom w:val="single" w:sz="4" w:space="0" w:color="000000"/>
            </w:tcBorders>
          </w:tcPr>
          <w:p>
            <w:pPr>
              <w:pStyle w:val="TableContents"/>
              <w:bidi w:val="0"/>
              <w:jc w:val="left"/>
              <w:rPr/>
            </w:pPr>
            <w:r>
              <w:rPr/>
              <w:t>Blueprint export, so a folder imports with no model</w:t>
            </w:r>
          </w:p>
        </w:tc>
        <w:tc>
          <w:tcPr>
            <w:tcW w:w="4819" w:type="dxa"/>
            <w:tcBorders>
              <w:left w:val="single" w:sz="4" w:space="0" w:color="000000"/>
              <w:bottom w:val="single" w:sz="4" w:space="0" w:color="000000"/>
              <w:right w:val="single" w:sz="4" w:space="0" w:color="000000"/>
            </w:tcBorders>
          </w:tcPr>
          <w:p>
            <w:pPr>
              <w:pStyle w:val="TableContents"/>
              <w:bidi w:val="0"/>
              <w:jc w:val="left"/>
              <w:rPr/>
            </w:pPr>
            <w:r>
              <w:rPr/>
              <w:t>Done and deployed</w:t>
            </w:r>
          </w:p>
        </w:tc>
      </w:tr>
      <w:tr>
        <w:trPr/>
        <w:tc>
          <w:tcPr>
            <w:tcW w:w="4819" w:type="dxa"/>
            <w:tcBorders>
              <w:left w:val="single" w:sz="4" w:space="0" w:color="000000"/>
              <w:bottom w:val="single" w:sz="4" w:space="0" w:color="000000"/>
            </w:tcBorders>
          </w:tcPr>
          <w:p>
            <w:pPr>
              <w:pStyle w:val="TableContents"/>
              <w:bidi w:val="0"/>
              <w:jc w:val="left"/>
              <w:rPr/>
            </w:pPr>
            <w:r>
              <w:rPr/>
              <w:t>Floating navigation on long pages</w:t>
            </w:r>
          </w:p>
        </w:tc>
        <w:tc>
          <w:tcPr>
            <w:tcW w:w="4819" w:type="dxa"/>
            <w:tcBorders>
              <w:left w:val="single" w:sz="4" w:space="0" w:color="000000"/>
              <w:bottom w:val="single" w:sz="4" w:space="0" w:color="000000"/>
              <w:right w:val="single" w:sz="4" w:space="0" w:color="000000"/>
            </w:tcBorders>
          </w:tcPr>
          <w:p>
            <w:pPr>
              <w:pStyle w:val="TableContents"/>
              <w:bidi w:val="0"/>
              <w:jc w:val="left"/>
              <w:rPr/>
            </w:pPr>
            <w:r>
              <w:rPr/>
              <w:t>Done and deployed</w:t>
            </w:r>
          </w:p>
        </w:tc>
      </w:tr>
    </w:tbl>
    <w:p>
      <w:pPr>
        <w:pStyle w:val="BodyText"/>
        <w:bidi w:val="0"/>
        <w:jc w:val="left"/>
        <w:rPr/>
      </w:pPr>
      <w:r>
        <w:rPr/>
      </w:r>
    </w:p>
    <w:p>
      <w:pPr>
        <w:pStyle w:val="BodyText"/>
        <w:bidi w:val="0"/>
        <w:spacing w:before="0" w:after="14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Liberation Mono">
    <w:altName w:val="Courier New"/>
    <w:charset w:val="00"/>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9"/>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Z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ZA"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LibreOffice/26.2.5.2$Windows_X86_64 LibreOffice_project/cd7284b4cbbfeb507e630c1aac019f4157393acb</Application>
  <AppVersion>15.0000</AppVersion>
  <Pages>6</Pages>
  <Words>1962</Words>
  <Characters>9890</Characters>
  <CharactersWithSpaces>11715</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2026-09-21T13:40:46Z</dcterms:created>
  <dc:creator/>
  <dc:description/>
  <dc:language>en-ZA</dc:language>
  <cp:lastModifiedBy/>
  <dcterms:modified xsi:type="dcterms:W3CDTF">2026-09-21T13:50:53Z</dcterms:modified>
  <cp:revision>1</cp:revision>
  <dc:subject/>
  <dc:title/>
</cp:coreProperties>
</file>