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Bdr>
          <w:bottom w:val="single" w:sz="12" w:space="8" w:color="B9975B"/>
        </w:pBdr>
      </w:pPr>
      <w:r>
        <w:rPr>
          <w:rFonts w:ascii="Montserrat" w:hAnsi="Montserrat"/>
          <w:b/>
          <w:color w:val="0D1E32"/>
          <w:sz w:val="44"/>
        </w:rPr>
        <w:t>Archiving a cohort's evidence</w:t>
      </w:r>
    </w:p>
    <w:p>
      <w:pPr>
        <w:spacing w:after="140"/>
      </w:pPr>
      <w:r>
        <w:rPr>
          <w:rFonts w:ascii="Inter" w:hAnsi="Inter"/>
          <w:b/>
          <w:color w:val="1A1A1A"/>
          <w:sz w:val="21"/>
        </w:rPr>
        <w:t>For:</w:t>
      </w:r>
      <w:r>
        <w:rPr>
          <w:rFonts w:ascii="Inter" w:hAnsi="Inter"/>
          <w:b w:val="0"/>
          <w:color w:val="1A1A1A"/>
          <w:sz w:val="21"/>
        </w:rPr>
        <w:t xml:space="preserve"> Roland Jones; Heidi Edwards on the two points marked for her</w:t>
      </w:r>
      <w:r>
        <w:br/>
      </w:r>
      <w:r>
        <w:rPr>
          <w:rFonts w:ascii="Inter" w:hAnsi="Inter"/>
          <w:b/>
          <w:color w:val="1A1A1A"/>
          <w:sz w:val="21"/>
        </w:rPr>
        <w:t>From:</w:t>
      </w:r>
      <w:r>
        <w:rPr>
          <w:rFonts w:ascii="Inter" w:hAnsi="Inter"/>
          <w:b w:val="0"/>
          <w:color w:val="1A1A1A"/>
          <w:sz w:val="21"/>
        </w:rPr>
        <w:t xml:space="preserve"> Claude, for ROFT Strategic Workforce Advisory</w:t>
      </w:r>
      <w:r>
        <w:br/>
      </w:r>
      <w:r>
        <w:rPr>
          <w:rFonts w:ascii="Inter" w:hAnsi="Inter"/>
          <w:b/>
          <w:color w:val="1A1A1A"/>
          <w:sz w:val="21"/>
        </w:rPr>
        <w:t>Date:</w:t>
      </w:r>
      <w:r>
        <w:rPr>
          <w:rFonts w:ascii="Inter" w:hAnsi="Inter"/>
          <w:b w:val="0"/>
          <w:color w:val="1A1A1A"/>
          <w:sz w:val="21"/>
        </w:rPr>
        <w:t xml:space="preserve"> 25 September 2026</w:t>
      </w:r>
      <w:r>
        <w:br/>
      </w:r>
      <w:r>
        <w:rPr>
          <w:rFonts w:ascii="Inter" w:hAnsi="Inter"/>
          <w:b/>
          <w:color w:val="1A1A1A"/>
          <w:sz w:val="21"/>
        </w:rPr>
        <w:t>Job sheet:</w:t>
      </w:r>
      <w:r>
        <w:rPr>
          <w:rFonts w:ascii="Inter" w:hAnsi="Inter"/>
          <w:b w:val="0"/>
          <w:color w:val="1A1A1A"/>
          <w:sz w:val="21"/>
        </w:rPr>
        <w:t xml:space="preserve"> 4.3</w:t>
      </w:r>
    </w:p>
    <w:p>
      <w:pPr>
        <w:spacing w:after="40"/>
        <w:pBdr>
          <w:bottom w:val="single" w:sz="4" w:space="8" w:color="B9975B"/>
        </w:pBdr>
      </w:pPr>
    </w:p>
    <w:p>
      <w:pPr>
        <w:keepNext/>
        <w:spacing w:before="280" w:after="60"/>
      </w:pPr>
      <w:r>
        <w:rPr>
          <w:rFonts w:ascii="Montserrat" w:hAnsi="Montserrat"/>
          <w:b/>
          <w:color w:val="0D1E32"/>
          <w:sz w:val="28"/>
        </w:rPr>
        <w:t>What has been decided</w:t>
      </w:r>
    </w:p>
    <w:p>
      <w:pPr>
        <w:spacing w:after="140"/>
      </w:pPr>
      <w:r>
        <w:rPr>
          <w:rFonts w:ascii="Inter" w:hAnsi="Inter"/>
          <w:b w:val="0"/>
          <w:color w:val="1A1A1A"/>
          <w:sz w:val="21"/>
        </w:rPr>
        <w:t xml:space="preserve">Heidi's decision: once a cohort has received its certificates of competence and statements of results after its first EISA, that cohort's evidence is archived and removed from the main server. The records are kept for five years after the certificate is issued. The model is </w:t>
      </w:r>
      <w:r>
        <w:rPr>
          <w:rFonts w:ascii="Inter" w:hAnsi="Inter"/>
          <w:b/>
          <w:color w:val="1A1A1A"/>
          <w:sz w:val="21"/>
        </w:rPr>
        <w:t>archive and keep</w:t>
      </w:r>
      <w:r>
        <w:rPr>
          <w:rFonts w:ascii="Inter" w:hAnsi="Inter"/>
          <w:b w:val="0"/>
          <w:color w:val="1A1A1A"/>
          <w:sz w:val="21"/>
        </w:rPr>
        <w:t>, not export and delete.</w:t>
      </w:r>
    </w:p>
    <w:p>
      <w:pPr>
        <w:spacing w:after="140"/>
      </w:pPr>
      <w:r>
        <w:rPr>
          <w:rFonts w:ascii="Inter" w:hAnsi="Inter"/>
          <w:b w:val="0"/>
          <w:color w:val="1A1A1A"/>
          <w:sz w:val="21"/>
        </w:rPr>
        <w:t>The job sheet adds two requirements. A provider must be able to run it themselves, and what comes out must be complete enough to restore from.</w:t>
      </w:r>
    </w:p>
    <w:p>
      <w:pPr>
        <w:keepNext/>
        <w:spacing w:before="280" w:after="60"/>
        <w:pBdr>
          <w:bottom w:val="single" w:sz="4" w:space="8" w:color="B9975B"/>
        </w:pBdr>
      </w:pPr>
      <w:r>
        <w:rPr>
          <w:rFonts w:ascii="Montserrat" w:hAnsi="Montserrat"/>
          <w:b/>
          <w:color w:val="0D1E32"/>
          <w:sz w:val="28"/>
        </w:rPr>
        <w:t>What already exists, and what does not</w:t>
      </w:r>
    </w:p>
    <w:tbl>
      <w:tblPr>
        <w:tblStyle w:val="TableGrid"/>
        <w:tblW w:type="auto" w:w="0"/>
        <w:jc w:val="center"/>
        <w:tblLayout w:type="fixed"/>
        <w:tblLook w:firstColumn="1" w:firstRow="1" w:lastColumn="0" w:lastRow="0" w:noHBand="0" w:noVBand="1" w:val="04A0"/>
      </w:tblPr>
      <w:tblGrid>
        <w:gridCol w:w="4879"/>
        <w:gridCol w:w="4305"/>
      </w:tblGrid>
      <w:tr>
        <w:trPr>
          <w:tblHeader w:val="true"/>
        </w:trPr>
        <w:tc>
          <w:tcPr>
            <w:tcW w:type="dxa" w:w="4879"/>
            <w:shd w:val="clear" w:fill="0D1E32"/>
          </w:tcPr>
          <w:p>
            <w:pPr>
              <w:keepNext/>
              <w:spacing w:after="40"/>
            </w:pPr>
          </w:p>
        </w:tc>
        <w:tc>
          <w:tcPr>
            <w:tcW w:type="dxa" w:w="4305"/>
            <w:shd w:val="clear" w:fill="0D1E32"/>
          </w:tcPr>
          <w:p>
            <w:pPr>
              <w:keepNext/>
              <w:spacing w:after="40"/>
            </w:pPr>
          </w:p>
        </w:tc>
      </w:tr>
      <w:tr>
        <w:tc>
          <w:tcPr>
            <w:tcW w:type="dxa" w:w="4879"/>
          </w:tcPr>
          <w:p>
            <w:pPr>
              <w:keepNext/>
              <w:spacing w:after="40"/>
              <w:jc w:val="left"/>
            </w:pPr>
            <w:r>
              <w:rPr>
                <w:rFonts w:ascii="Inter" w:hAnsi="Inter"/>
                <w:b w:val="0"/>
                <w:color w:val="1A1A1A"/>
                <w:sz w:val="19"/>
              </w:rPr>
              <w:t>When each learner certificated</w:t>
            </w:r>
          </w:p>
        </w:tc>
        <w:tc>
          <w:tcPr>
            <w:tcW w:type="dxa" w:w="4305"/>
          </w:tcPr>
          <w:p>
            <w:pPr>
              <w:keepNext/>
              <w:spacing w:after="40"/>
              <w:jc w:val="left"/>
            </w:pPr>
            <w:r>
              <w:rPr>
                <w:rFonts w:ascii="Inter" w:hAnsi="Inter"/>
                <w:b w:val="0"/>
                <w:color w:val="1A1A1A"/>
                <w:sz w:val="19"/>
              </w:rPr>
              <w:t>Held: the certificate's issue date</w:t>
            </w:r>
          </w:p>
        </w:tc>
      </w:tr>
      <w:tr>
        <w:tc>
          <w:tcPr>
            <w:tcW w:type="dxa" w:w="4879"/>
            <w:shd w:val="clear" w:fill="F4F1EA"/>
          </w:tcPr>
          <w:p>
            <w:pPr>
              <w:keepNext/>
              <w:spacing w:after="40"/>
              <w:jc w:val="left"/>
            </w:pPr>
            <w:r>
              <w:rPr>
                <w:rFonts w:ascii="Inter" w:hAnsi="Inter"/>
                <w:b w:val="0"/>
                <w:color w:val="1A1A1A"/>
                <w:sz w:val="19"/>
              </w:rPr>
              <w:t>Five years counted from that date</w:t>
            </w:r>
          </w:p>
        </w:tc>
        <w:tc>
          <w:tcPr>
            <w:tcW w:type="dxa" w:w="4305"/>
            <w:shd w:val="clear" w:fill="F4F1EA"/>
          </w:tcPr>
          <w:p>
            <w:pPr>
              <w:keepNext/>
              <w:spacing w:after="40"/>
              <w:jc w:val="left"/>
            </w:pPr>
            <w:r>
              <w:rPr>
                <w:rFonts w:ascii="Inter" w:hAnsi="Inter"/>
                <w:b w:val="0"/>
                <w:color w:val="1A1A1A"/>
                <w:sz w:val="19"/>
              </w:rPr>
              <w:t>Held: a per-provider setting, five by default</w:t>
            </w:r>
          </w:p>
        </w:tc>
      </w:tr>
      <w:tr>
        <w:tc>
          <w:tcPr>
            <w:tcW w:type="dxa" w:w="4879"/>
          </w:tcPr>
          <w:p>
            <w:pPr>
              <w:keepNext/>
              <w:spacing w:after="40"/>
              <w:jc w:val="left"/>
            </w:pPr>
            <w:r>
              <w:rPr>
                <w:rFonts w:ascii="Inter" w:hAnsi="Inter"/>
                <w:b w:val="0"/>
                <w:color w:val="1A1A1A"/>
                <w:sz w:val="19"/>
              </w:rPr>
              <w:t>A learner's Portfolio of Evidence, on screen</w:t>
            </w:r>
          </w:p>
        </w:tc>
        <w:tc>
          <w:tcPr>
            <w:tcW w:type="dxa" w:w="4305"/>
          </w:tcPr>
          <w:p>
            <w:pPr>
              <w:keepNext/>
              <w:spacing w:after="40"/>
              <w:jc w:val="left"/>
            </w:pPr>
            <w:r>
              <w:rPr>
                <w:rFonts w:ascii="Inter" w:hAnsi="Inter"/>
                <w:b w:val="0"/>
                <w:color w:val="1A1A1A"/>
                <w:sz w:val="19"/>
              </w:rPr>
              <w:t>Held: the assessor's record page</w:t>
            </w:r>
          </w:p>
        </w:tc>
      </w:tr>
      <w:tr>
        <w:tc>
          <w:tcPr>
            <w:tcW w:type="dxa" w:w="4879"/>
            <w:shd w:val="clear" w:fill="F4F1EA"/>
          </w:tcPr>
          <w:p>
            <w:pPr>
              <w:keepNext/>
              <w:spacing w:after="40"/>
              <w:jc w:val="left"/>
            </w:pPr>
            <w:r>
              <w:rPr>
                <w:rFonts w:ascii="Inter" w:hAnsi="Inter"/>
                <w:b w:val="0"/>
                <w:color w:val="1A1A1A"/>
                <w:sz w:val="19"/>
              </w:rPr>
              <w:t>A register of what was disposed of, by whom and why</w:t>
            </w:r>
          </w:p>
        </w:tc>
        <w:tc>
          <w:tcPr>
            <w:tcW w:type="dxa" w:w="4305"/>
            <w:shd w:val="clear" w:fill="F4F1EA"/>
          </w:tcPr>
          <w:p>
            <w:pPr>
              <w:keepNext/>
              <w:spacing w:after="40"/>
              <w:jc w:val="left"/>
            </w:pPr>
            <w:r>
              <w:rPr>
                <w:rFonts w:ascii="Inter" w:hAnsi="Inter"/>
                <w:b w:val="0"/>
                <w:color w:val="1A1A1A"/>
                <w:sz w:val="19"/>
              </w:rPr>
              <w:t>Held</w:t>
            </w:r>
          </w:p>
        </w:tc>
      </w:tr>
      <w:tr>
        <w:tc>
          <w:tcPr>
            <w:tcW w:type="dxa" w:w="4879"/>
          </w:tcPr>
          <w:p>
            <w:pPr>
              <w:keepNext/>
              <w:spacing w:after="40"/>
              <w:jc w:val="left"/>
            </w:pPr>
            <w:r>
              <w:rPr>
                <w:rFonts w:ascii="Inter" w:hAnsi="Inter"/>
                <w:b w:val="0"/>
                <w:color w:val="1A1A1A"/>
                <w:sz w:val="19"/>
              </w:rPr>
              <w:t>Packaging a cohort's evidence into one file</w:t>
            </w:r>
          </w:p>
        </w:tc>
        <w:tc>
          <w:tcPr>
            <w:tcW w:type="dxa" w:w="4305"/>
          </w:tcPr>
          <w:p>
            <w:pPr>
              <w:keepNext/>
              <w:spacing w:after="40"/>
              <w:jc w:val="left"/>
            </w:pPr>
            <w:r>
              <w:rPr>
                <w:rFonts w:ascii="Inter" w:hAnsi="Inter"/>
                <w:b/>
                <w:color w:val="1A1A1A"/>
                <w:sz w:val="19"/>
              </w:rPr>
              <w:t>Not built</w:t>
            </w:r>
          </w:p>
        </w:tc>
      </w:tr>
      <w:tr>
        <w:tc>
          <w:tcPr>
            <w:tcW w:type="dxa" w:w="4879"/>
            <w:shd w:val="clear" w:fill="F4F1EA"/>
          </w:tcPr>
          <w:p>
            <w:pPr>
              <w:keepNext/>
              <w:spacing w:after="40"/>
              <w:jc w:val="left"/>
            </w:pPr>
            <w:r>
              <w:rPr>
                <w:rFonts w:ascii="Inter" w:hAnsi="Inter"/>
                <w:b w:val="0"/>
                <w:color w:val="1A1A1A"/>
                <w:sz w:val="19"/>
              </w:rPr>
              <w:t>Marking a file as archived, and removing it</w:t>
            </w:r>
          </w:p>
        </w:tc>
        <w:tc>
          <w:tcPr>
            <w:tcW w:type="dxa" w:w="4305"/>
            <w:shd w:val="clear" w:fill="F4F1EA"/>
          </w:tcPr>
          <w:p>
            <w:pPr>
              <w:keepNext/>
              <w:spacing w:after="40"/>
              <w:jc w:val="left"/>
            </w:pPr>
            <w:r>
              <w:rPr>
                <w:rFonts w:ascii="Inter" w:hAnsi="Inter"/>
                <w:b/>
                <w:color w:val="1A1A1A"/>
                <w:sz w:val="19"/>
              </w:rPr>
              <w:t>Not built</w:t>
            </w:r>
          </w:p>
        </w:tc>
      </w:tr>
      <w:tr>
        <w:tc>
          <w:tcPr>
            <w:tcW w:type="dxa" w:w="4879"/>
          </w:tcPr>
          <w:p>
            <w:pPr>
              <w:spacing w:after="40"/>
              <w:jc w:val="left"/>
            </w:pPr>
            <w:r>
              <w:rPr>
                <w:rFonts w:ascii="Inter" w:hAnsi="Inter"/>
                <w:b w:val="0"/>
                <w:color w:val="1A1A1A"/>
                <w:sz w:val="19"/>
              </w:rPr>
              <w:t>Restoring an archived cohort</w:t>
            </w:r>
          </w:p>
        </w:tc>
        <w:tc>
          <w:tcPr>
            <w:tcW w:type="dxa" w:w="4305"/>
          </w:tcPr>
          <w:p>
            <w:pPr>
              <w:spacing w:after="40"/>
              <w:jc w:val="left"/>
            </w:pPr>
            <w:r>
              <w:rPr>
                <w:rFonts w:ascii="Inter" w:hAnsi="Inter"/>
                <w:b/>
                <w:color w:val="1A1A1A"/>
                <w:sz w:val="19"/>
              </w:rPr>
              <w:t>Not built</w:t>
            </w:r>
          </w:p>
        </w:tc>
      </w:tr>
    </w:tbl>
    <w:p>
      <w:pPr>
        <w:spacing w:after="80"/>
      </w:pPr>
    </w:p>
    <w:p>
      <w:pPr>
        <w:spacing w:after="140"/>
      </w:pPr>
      <w:r>
        <w:rPr>
          <w:rFonts w:ascii="Inter" w:hAnsi="Inter"/>
          <w:b w:val="0"/>
          <w:color w:val="1A1A1A"/>
          <w:sz w:val="21"/>
        </w:rPr>
        <w:t xml:space="preserve">Only three kinds of file belong to a learner rather than to the programme: their </w:t>
      </w:r>
      <w:r>
        <w:rPr>
          <w:rFonts w:ascii="Inter" w:hAnsi="Inter"/>
          <w:b/>
          <w:color w:val="1A1A1A"/>
          <w:sz w:val="21"/>
        </w:rPr>
        <w:t>evidence</w:t>
      </w:r>
      <w:r>
        <w:rPr>
          <w:rFonts w:ascii="Inter" w:hAnsi="Inter"/>
          <w:b w:val="0"/>
          <w:color w:val="1A1A1A"/>
          <w:sz w:val="21"/>
        </w:rPr>
        <w:t xml:space="preserve">, their </w:t>
      </w:r>
      <w:r>
        <w:rPr>
          <w:rFonts w:ascii="Inter" w:hAnsi="Inter"/>
          <w:b/>
          <w:color w:val="1A1A1A"/>
          <w:sz w:val="21"/>
        </w:rPr>
        <w:t>enrolment documents</w:t>
      </w:r>
      <w:r>
        <w:rPr>
          <w:rFonts w:ascii="Inter" w:hAnsi="Inter"/>
          <w:b w:val="0"/>
          <w:color w:val="1A1A1A"/>
          <w:sz w:val="21"/>
        </w:rPr>
        <w:t xml:space="preserve"> and their </w:t>
      </w:r>
      <w:r>
        <w:rPr>
          <w:rFonts w:ascii="Inter" w:hAnsi="Inter"/>
          <w:b/>
          <w:color w:val="1A1A1A"/>
          <w:sz w:val="21"/>
        </w:rPr>
        <w:t>certificate</w:t>
      </w:r>
      <w:r>
        <w:rPr>
          <w:rFonts w:ascii="Inter" w:hAnsi="Inter"/>
          <w:b w:val="0"/>
          <w:color w:val="1A1A1A"/>
          <w:sz w:val="21"/>
        </w:rPr>
        <w:t>. Guides, workbooks, lessons and policies belong to the programme and stay where they are.</w:t>
      </w:r>
    </w:p>
    <w:p>
      <w:pPr>
        <w:spacing w:after="40"/>
        <w:pBdr>
          <w:bottom w:val="single" w:sz="4" w:space="8" w:color="B9975B"/>
        </w:pBdr>
      </w:pPr>
    </w:p>
    <w:p>
      <w:pPr>
        <w:keepNext/>
        <w:spacing w:before="280" w:after="60"/>
        <w:pBdr>
          <w:bottom w:val="single" w:sz="4" w:space="8" w:color="B9975B"/>
        </w:pBdr>
      </w:pPr>
      <w:r>
        <w:rPr>
          <w:rFonts w:ascii="Montserrat" w:hAnsi="Montserrat"/>
          <w:b/>
          <w:color w:val="0D1E32"/>
          <w:sz w:val="28"/>
        </w:rPr>
        <w:t>How it would work</w:t>
      </w:r>
    </w:p>
    <w:p>
      <w:pPr>
        <w:pStyle w:val="ListNumber"/>
        <w:spacing w:after="60"/>
      </w:pPr>
      <w:r>
        <w:rPr>
          <w:rFonts w:ascii="Inter" w:hAnsi="Inter"/>
          <w:b/>
          <w:color w:val="1A1A1A"/>
          <w:sz w:val="21"/>
        </w:rPr>
        <w:t>Offered, never automatic.</w:t>
      </w:r>
      <w:r>
        <w:rPr>
          <w:rFonts w:ascii="Inter" w:hAnsi="Inter"/>
          <w:b w:val="0"/>
          <w:color w:val="1A1A1A"/>
          <w:sz w:val="21"/>
        </w:rPr>
        <w:t xml:space="preserve"> A cohort is offered for archiving once every learner in it has a certificate and a statement of results. Nothing moves until an administrator chooses to.</w:t>
      </w:r>
    </w:p>
    <w:p>
      <w:pPr>
        <w:pStyle w:val="ListNumber"/>
        <w:spacing w:after="60"/>
      </w:pPr>
      <w:r>
        <w:rPr>
          <w:rFonts w:ascii="Inter" w:hAnsi="Inter"/>
          <w:b/>
          <w:color w:val="1A1A1A"/>
          <w:sz w:val="21"/>
        </w:rPr>
        <w:t>One archive per cohort.</w:t>
      </w:r>
      <w:r>
        <w:rPr>
          <w:rFonts w:ascii="Inter" w:hAnsi="Inter"/>
          <w:b w:val="0"/>
          <w:color w:val="1A1A1A"/>
          <w:sz w:val="21"/>
        </w:rPr>
        <w:t xml:space="preserve"> For each learner: every piece of evidence, their enrolment documents, certificate and statement of results, every assessment decision with the criteria it was judged against, and every moderation record. With it, a list of every file and a fingerprint of each, so that any later change to any file can be detected.</w:t>
      </w:r>
    </w:p>
    <w:p>
      <w:pPr>
        <w:pStyle w:val="ListNumber"/>
        <w:spacing w:after="60"/>
      </w:pPr>
      <w:r>
        <w:rPr>
          <w:rFonts w:ascii="Inter" w:hAnsi="Inter"/>
          <w:b/>
          <w:color w:val="1A1A1A"/>
          <w:sz w:val="21"/>
        </w:rPr>
        <w:t>Readable without the platform.</w:t>
      </w:r>
      <w:r>
        <w:rPr>
          <w:rFonts w:ascii="Inter" w:hAnsi="Inter"/>
          <w:b w:val="0"/>
          <w:color w:val="1A1A1A"/>
          <w:sz w:val="21"/>
        </w:rPr>
        <w:t xml:space="preserve"> The archive opens in an ordinary browser, with an index page per learner. An auditor four years from now needs the file and nothing else, even if the platform no longer exists.</w:t>
      </w:r>
    </w:p>
    <w:p>
      <w:pPr>
        <w:pStyle w:val="ListNumber"/>
        <w:spacing w:after="60"/>
      </w:pPr>
      <w:r>
        <w:rPr>
          <w:rFonts w:ascii="Inter" w:hAnsi="Inter"/>
          <w:b/>
          <w:color w:val="1A1A1A"/>
          <w:sz w:val="21"/>
        </w:rPr>
        <w:t>Proof before anything is removed.</w:t>
      </w:r>
      <w:r>
        <w:rPr>
          <w:rFonts w:ascii="Inter" w:hAnsi="Inter"/>
          <w:b w:val="0"/>
          <w:color w:val="1A1A1A"/>
          <w:sz w:val="21"/>
        </w:rPr>
        <w:t xml:space="preserve"> The provider downloads the archive and stores it where their records policy says. Nothing leaves the server until the provider gives the archive back to the platform and every fingerprint matches. A download that was never saved, or was saved damaged, is caught while the originals still exist.</w:t>
      </w:r>
    </w:p>
    <w:p>
      <w:pPr>
        <w:pStyle w:val="ListNumber"/>
        <w:spacing w:after="60"/>
      </w:pPr>
      <w:r>
        <w:rPr>
          <w:rFonts w:ascii="Inter" w:hAnsi="Inter"/>
          <w:b/>
          <w:color w:val="1A1A1A"/>
          <w:sz w:val="21"/>
        </w:rPr>
        <w:t>The files leave; the record stays.</w:t>
      </w:r>
      <w:r>
        <w:rPr>
          <w:rFonts w:ascii="Inter" w:hAnsi="Inter"/>
          <w:b w:val="0"/>
          <w:color w:val="1A1A1A"/>
          <w:sz w:val="21"/>
        </w:rPr>
        <w:t xml:space="preserve"> The files are removed from the server. Every record in the database remains, marked "archived on this date, in this archive, held by this provider". The learner's history is still complete on screen; only the files are elsewhere.</w:t>
      </w:r>
    </w:p>
    <w:p>
      <w:pPr>
        <w:spacing w:after="140"/>
      </w:pPr>
      <w:r>
        <w:rPr>
          <w:rFonts w:ascii="Inter" w:hAnsi="Inter"/>
          <w:b/>
          <w:color w:val="1A1A1A"/>
          <w:sz w:val="21"/>
        </w:rPr>
        <w:t>Restoring</w:t>
      </w:r>
      <w:r>
        <w:rPr>
          <w:rFonts w:ascii="Inter" w:hAnsi="Inter"/>
          <w:b w:val="0"/>
          <w:color w:val="1A1A1A"/>
          <w:sz w:val="21"/>
        </w:rPr>
        <w:t xml:space="preserve"> is the same check in reverse: the archive is uploaded, every fingerprint is checked, and the files go back.</w:t>
      </w:r>
    </w:p>
    <w:p>
      <w:pPr>
        <w:spacing w:after="140"/>
      </w:pPr>
      <w:r>
        <w:rPr>
          <w:rFonts w:ascii="Inter" w:hAnsi="Inter"/>
          <w:b/>
          <w:color w:val="1A1A1A"/>
          <w:sz w:val="21"/>
        </w:rPr>
        <w:t>At the end of five years</w:t>
      </w:r>
      <w:r>
        <w:rPr>
          <w:rFonts w:ascii="Inter" w:hAnsi="Inter"/>
          <w:b w:val="0"/>
          <w:color w:val="1A1A1A"/>
          <w:sz w:val="21"/>
        </w:rPr>
        <w:t xml:space="preserve"> the provider disposes of the archive, and the disposal is recorded in the register the platform already keeps.</w:t>
      </w:r>
    </w:p>
    <w:p>
      <w:pPr>
        <w:spacing w:after="40"/>
        <w:pBdr>
          <w:bottom w:val="single" w:sz="4" w:space="8" w:color="B9975B"/>
        </w:pBdr>
      </w:pPr>
    </w:p>
    <w:p>
      <w:pPr>
        <w:keepNext/>
        <w:spacing w:before="280" w:after="60"/>
        <w:pBdr>
          <w:bottom w:val="single" w:sz="4" w:space="8" w:color="B9975B"/>
        </w:pBdr>
      </w:pPr>
      <w:r>
        <w:rPr>
          <w:rFonts w:ascii="Montserrat" w:hAnsi="Montserrat"/>
          <w:b/>
          <w:color w:val="0D1E32"/>
          <w:sz w:val="28"/>
        </w:rPr>
        <w:t>Decisions needed</w:t>
      </w:r>
    </w:p>
    <w:tbl>
      <w:tblPr>
        <w:tblStyle w:val="TableGrid"/>
        <w:tblW w:type="auto" w:w="0"/>
        <w:jc w:val="center"/>
        <w:tblLayout w:type="fixed"/>
        <w:tblLook w:firstColumn="1" w:firstRow="1" w:lastColumn="0" w:lastRow="0" w:noHBand="0" w:noVBand="1" w:val="04A0"/>
      </w:tblPr>
      <w:tblGrid>
        <w:gridCol w:w="593"/>
        <w:gridCol w:w="2864"/>
        <w:gridCol w:w="2864"/>
        <w:gridCol w:w="2864"/>
      </w:tblGrid>
      <w:tr>
        <w:trPr>
          <w:tblHeader w:val="true"/>
        </w:trPr>
        <w:tc>
          <w:tcPr>
            <w:tcW w:type="dxa" w:w="593"/>
            <w:shd w:val="clear" w:fill="0D1E32"/>
          </w:tcPr>
          <w:p>
            <w:pPr>
              <w:keepNext/>
              <w:spacing w:after="40"/>
            </w:pPr>
            <w:r>
              <w:rPr>
                <w:rFonts w:ascii="Montserrat" w:hAnsi="Montserrat"/>
                <w:b/>
                <w:color w:val="FFFFFF"/>
                <w:sz w:val="19"/>
              </w:rPr>
              <w:t>#</w:t>
            </w:r>
          </w:p>
        </w:tc>
        <w:tc>
          <w:tcPr>
            <w:tcW w:type="dxa" w:w="2864"/>
            <w:shd w:val="clear" w:fill="0D1E32"/>
          </w:tcPr>
          <w:p>
            <w:pPr>
              <w:keepNext/>
              <w:spacing w:after="40"/>
            </w:pPr>
            <w:r>
              <w:rPr>
                <w:rFonts w:ascii="Montserrat" w:hAnsi="Montserrat"/>
                <w:b/>
                <w:color w:val="FFFFFF"/>
                <w:sz w:val="19"/>
              </w:rPr>
              <w:t>Question</w:t>
            </w:r>
          </w:p>
        </w:tc>
        <w:tc>
          <w:tcPr>
            <w:tcW w:type="dxa" w:w="2864"/>
            <w:shd w:val="clear" w:fill="0D1E32"/>
          </w:tcPr>
          <w:p>
            <w:pPr>
              <w:keepNext/>
              <w:spacing w:after="40"/>
            </w:pPr>
            <w:r>
              <w:rPr>
                <w:rFonts w:ascii="Montserrat" w:hAnsi="Montserrat"/>
                <w:b/>
                <w:color w:val="FFFFFF"/>
                <w:sz w:val="19"/>
              </w:rPr>
              <w:t>Recommended</w:t>
            </w:r>
          </w:p>
        </w:tc>
        <w:tc>
          <w:tcPr>
            <w:tcW w:type="dxa" w:w="2864"/>
            <w:shd w:val="clear" w:fill="0D1E32"/>
          </w:tcPr>
          <w:p>
            <w:pPr>
              <w:keepNext/>
              <w:spacing w:after="40"/>
            </w:pPr>
            <w:r>
              <w:rPr>
                <w:rFonts w:ascii="Montserrat" w:hAnsi="Montserrat"/>
                <w:b/>
                <w:color w:val="FFFFFF"/>
                <w:sz w:val="19"/>
              </w:rPr>
              <w:t>Why</w:t>
            </w:r>
          </w:p>
        </w:tc>
      </w:tr>
      <w:tr>
        <w:tc>
          <w:tcPr>
            <w:tcW w:type="dxa" w:w="593"/>
          </w:tcPr>
          <w:p>
            <w:pPr>
              <w:keepNext/>
              <w:spacing w:after="40"/>
              <w:jc w:val="left"/>
            </w:pPr>
            <w:r>
              <w:rPr>
                <w:rFonts w:ascii="Inter" w:hAnsi="Inter"/>
                <w:b w:val="0"/>
                <w:color w:val="1A1A1A"/>
                <w:sz w:val="19"/>
              </w:rPr>
              <w:t>1</w:t>
            </w:r>
          </w:p>
        </w:tc>
        <w:tc>
          <w:tcPr>
            <w:tcW w:type="dxa" w:w="2864"/>
          </w:tcPr>
          <w:p>
            <w:pPr>
              <w:keepNext/>
              <w:spacing w:after="40"/>
              <w:jc w:val="left"/>
            </w:pPr>
            <w:r>
              <w:rPr>
                <w:rFonts w:ascii="Inter" w:hAnsi="Inter"/>
                <w:b w:val="0"/>
                <w:color w:val="1A1A1A"/>
                <w:sz w:val="19"/>
              </w:rPr>
              <w:t>Who keeps the archive?</w:t>
            </w:r>
          </w:p>
        </w:tc>
        <w:tc>
          <w:tcPr>
            <w:tcW w:type="dxa" w:w="2864"/>
          </w:tcPr>
          <w:p>
            <w:pPr>
              <w:keepNext/>
              <w:spacing w:after="40"/>
              <w:jc w:val="left"/>
            </w:pPr>
            <w:r>
              <w:rPr>
                <w:rFonts w:ascii="Inter" w:hAnsi="Inter"/>
                <w:b/>
                <w:color w:val="1A1A1A"/>
                <w:sz w:val="19"/>
              </w:rPr>
              <w:t>The provider</w:t>
            </w:r>
            <w:r>
              <w:rPr>
                <w:rFonts w:ascii="Inter" w:hAnsi="Inter"/>
                <w:b w:val="0"/>
                <w:color w:val="1A1A1A"/>
                <w:sz w:val="19"/>
              </w:rPr>
              <w:t>, and additionally the off-site store once it exists (10.4)</w:t>
            </w:r>
          </w:p>
        </w:tc>
        <w:tc>
          <w:tcPr>
            <w:tcW w:type="dxa" w:w="2864"/>
          </w:tcPr>
          <w:p>
            <w:pPr>
              <w:keepNext/>
              <w:spacing w:after="40"/>
              <w:jc w:val="left"/>
            </w:pPr>
            <w:r>
              <w:rPr>
                <w:rFonts w:ascii="Inter" w:hAnsi="Inter"/>
                <w:b w:val="0"/>
                <w:color w:val="1A1A1A"/>
                <w:sz w:val="19"/>
              </w:rPr>
              <w:t>Heidi's words were that the provider takes custody. A second copy off-site costs little once the bucket is there.</w:t>
            </w:r>
          </w:p>
        </w:tc>
      </w:tr>
      <w:tr>
        <w:tc>
          <w:tcPr>
            <w:tcW w:type="dxa" w:w="593"/>
            <w:shd w:val="clear" w:fill="F4F1EA"/>
          </w:tcPr>
          <w:p>
            <w:pPr>
              <w:keepNext/>
              <w:spacing w:after="40"/>
              <w:jc w:val="left"/>
            </w:pPr>
            <w:r>
              <w:rPr>
                <w:rFonts w:ascii="Inter" w:hAnsi="Inter"/>
                <w:b w:val="0"/>
                <w:color w:val="1A1A1A"/>
                <w:sz w:val="19"/>
              </w:rPr>
              <w:t>2</w:t>
            </w:r>
          </w:p>
        </w:tc>
        <w:tc>
          <w:tcPr>
            <w:tcW w:type="dxa" w:w="2864"/>
            <w:shd w:val="clear" w:fill="F4F1EA"/>
          </w:tcPr>
          <w:p>
            <w:pPr>
              <w:keepNext/>
              <w:spacing w:after="40"/>
              <w:jc w:val="left"/>
            </w:pPr>
            <w:r>
              <w:rPr>
                <w:rFonts w:ascii="Inter" w:hAnsi="Inter"/>
                <w:b w:val="0"/>
                <w:color w:val="1A1A1A"/>
                <w:sz w:val="19"/>
              </w:rPr>
              <w:t>Must the archive be given back and checked before files are removed?</w:t>
            </w:r>
          </w:p>
        </w:tc>
        <w:tc>
          <w:tcPr>
            <w:tcW w:type="dxa" w:w="2864"/>
            <w:shd w:val="clear" w:fill="F4F1EA"/>
          </w:tcPr>
          <w:p>
            <w:pPr>
              <w:keepNext/>
              <w:spacing w:after="40"/>
              <w:jc w:val="left"/>
            </w:pPr>
            <w:r>
              <w:rPr>
                <w:rFonts w:ascii="Inter" w:hAnsi="Inter"/>
                <w:b/>
                <w:color w:val="1A1A1A"/>
                <w:sz w:val="19"/>
              </w:rPr>
              <w:t>Yes</w:t>
            </w:r>
          </w:p>
        </w:tc>
        <w:tc>
          <w:tcPr>
            <w:tcW w:type="dxa" w:w="2864"/>
            <w:shd w:val="clear" w:fill="F4F1EA"/>
          </w:tcPr>
          <w:p>
            <w:pPr>
              <w:keepNext/>
              <w:spacing w:after="40"/>
              <w:jc w:val="left"/>
            </w:pPr>
            <w:r>
              <w:rPr>
                <w:rFonts w:ascii="Inter" w:hAnsi="Inter"/>
                <w:b w:val="0"/>
                <w:color w:val="1A1A1A"/>
                <w:sz w:val="19"/>
              </w:rPr>
              <w:t>It is the only step that proves the archive exists and is intact before the originals go. Without it, one unsaved download loses a cohort's evidence.</w:t>
            </w:r>
          </w:p>
        </w:tc>
      </w:tr>
      <w:tr>
        <w:tc>
          <w:tcPr>
            <w:tcW w:type="dxa" w:w="593"/>
          </w:tcPr>
          <w:p>
            <w:pPr>
              <w:keepNext/>
              <w:spacing w:after="40"/>
              <w:jc w:val="left"/>
            </w:pPr>
            <w:r>
              <w:rPr>
                <w:rFonts w:ascii="Inter" w:hAnsi="Inter"/>
                <w:b w:val="0"/>
                <w:color w:val="1A1A1A"/>
                <w:sz w:val="19"/>
              </w:rPr>
              <w:t>3</w:t>
            </w:r>
          </w:p>
        </w:tc>
        <w:tc>
          <w:tcPr>
            <w:tcW w:type="dxa" w:w="2864"/>
          </w:tcPr>
          <w:p>
            <w:pPr>
              <w:keepNext/>
              <w:spacing w:after="40"/>
              <w:jc w:val="left"/>
            </w:pPr>
            <w:r>
              <w:rPr>
                <w:rFonts w:ascii="Inter" w:hAnsi="Inter"/>
                <w:b w:val="0"/>
                <w:color w:val="1A1A1A"/>
                <w:sz w:val="19"/>
              </w:rPr>
              <w:t>Who may archive?</w:t>
            </w:r>
          </w:p>
        </w:tc>
        <w:tc>
          <w:tcPr>
            <w:tcW w:type="dxa" w:w="2864"/>
          </w:tcPr>
          <w:p>
            <w:pPr>
              <w:keepNext/>
              <w:spacing w:after="40"/>
              <w:jc w:val="left"/>
            </w:pPr>
            <w:r>
              <w:rPr>
                <w:rFonts w:ascii="Inter" w:hAnsi="Inter"/>
                <w:b/>
                <w:color w:val="1A1A1A"/>
                <w:sz w:val="19"/>
              </w:rPr>
              <w:t>A provider administrator only</w:t>
            </w:r>
          </w:p>
        </w:tc>
        <w:tc>
          <w:tcPr>
            <w:tcW w:type="dxa" w:w="2864"/>
          </w:tcPr>
          <w:p>
            <w:pPr>
              <w:keepNext/>
              <w:spacing w:after="40"/>
              <w:jc w:val="left"/>
            </w:pPr>
            <w:r>
              <w:rPr>
                <w:rFonts w:ascii="Inter" w:hAnsi="Inter"/>
                <w:b w:val="0"/>
                <w:color w:val="1A1A1A"/>
                <w:sz w:val="19"/>
              </w:rPr>
              <w:t>It removes evidence from the platform.</w:t>
            </w:r>
          </w:p>
        </w:tc>
      </w:tr>
      <w:tr>
        <w:tc>
          <w:tcPr>
            <w:tcW w:type="dxa" w:w="593"/>
            <w:shd w:val="clear" w:fill="F4F1EA"/>
          </w:tcPr>
          <w:p>
            <w:pPr>
              <w:keepNext/>
              <w:spacing w:after="40"/>
              <w:jc w:val="left"/>
            </w:pPr>
            <w:r>
              <w:rPr>
                <w:rFonts w:ascii="Inter" w:hAnsi="Inter"/>
                <w:b w:val="0"/>
                <w:color w:val="1A1A1A"/>
                <w:sz w:val="19"/>
              </w:rPr>
              <w:t>4</w:t>
            </w:r>
          </w:p>
        </w:tc>
        <w:tc>
          <w:tcPr>
            <w:tcW w:type="dxa" w:w="2864"/>
            <w:shd w:val="clear" w:fill="F4F1EA"/>
          </w:tcPr>
          <w:p>
            <w:pPr>
              <w:keepNext/>
              <w:spacing w:after="40"/>
              <w:jc w:val="left"/>
            </w:pPr>
            <w:r>
              <w:rPr>
                <w:rFonts w:ascii="Inter" w:hAnsi="Inter"/>
                <w:b w:val="0"/>
                <w:color w:val="1A1A1A"/>
                <w:sz w:val="19"/>
              </w:rPr>
              <w:t>What format?</w:t>
            </w:r>
          </w:p>
        </w:tc>
        <w:tc>
          <w:tcPr>
            <w:tcW w:type="dxa" w:w="2864"/>
            <w:shd w:val="clear" w:fill="F4F1EA"/>
          </w:tcPr>
          <w:p>
            <w:pPr>
              <w:keepNext/>
              <w:spacing w:after="40"/>
              <w:jc w:val="left"/>
            </w:pPr>
            <w:r>
              <w:rPr>
                <w:rFonts w:ascii="Inter" w:hAnsi="Inter"/>
                <w:b/>
                <w:color w:val="1A1A1A"/>
                <w:sz w:val="19"/>
              </w:rPr>
              <w:t>A single file that opens in a browser</w:t>
            </w:r>
          </w:p>
        </w:tc>
        <w:tc>
          <w:tcPr>
            <w:tcW w:type="dxa" w:w="2864"/>
            <w:shd w:val="clear" w:fill="F4F1EA"/>
          </w:tcPr>
          <w:p>
            <w:pPr>
              <w:keepNext/>
              <w:spacing w:after="40"/>
              <w:jc w:val="left"/>
            </w:pPr>
            <w:r>
              <w:rPr>
                <w:rFonts w:ascii="Inter" w:hAnsi="Inter"/>
                <w:b w:val="0"/>
                <w:color w:val="1A1A1A"/>
                <w:sz w:val="19"/>
              </w:rPr>
              <w:t>Readable in four years without the platform.</w:t>
            </w:r>
          </w:p>
        </w:tc>
      </w:tr>
      <w:tr>
        <w:tc>
          <w:tcPr>
            <w:tcW w:type="dxa" w:w="593"/>
          </w:tcPr>
          <w:p>
            <w:pPr>
              <w:keepNext/>
              <w:spacing w:after="40"/>
              <w:jc w:val="left"/>
            </w:pPr>
            <w:r>
              <w:rPr>
                <w:rFonts w:ascii="Inter" w:hAnsi="Inter"/>
                <w:b w:val="0"/>
                <w:color w:val="1A1A1A"/>
                <w:sz w:val="19"/>
              </w:rPr>
              <w:t>5</w:t>
            </w:r>
          </w:p>
        </w:tc>
        <w:tc>
          <w:tcPr>
            <w:tcW w:type="dxa" w:w="2864"/>
          </w:tcPr>
          <w:p>
            <w:pPr>
              <w:keepNext/>
              <w:spacing w:after="40"/>
              <w:jc w:val="left"/>
            </w:pPr>
            <w:r>
              <w:rPr>
                <w:rFonts w:ascii="Inter" w:hAnsi="Inter"/>
                <w:b/>
                <w:color w:val="1A1A1A"/>
                <w:sz w:val="19"/>
              </w:rPr>
              <w:t>For Heidi:</w:t>
            </w:r>
            <w:r>
              <w:rPr>
                <w:rFonts w:ascii="Inter" w:hAnsi="Inter"/>
                <w:b w:val="0"/>
                <w:color w:val="1A1A1A"/>
                <w:sz w:val="19"/>
              </w:rPr>
              <w:t xml:space="preserve"> a learner who does not pass the first EISA and resits. Does the cohort wait for them?</w:t>
            </w:r>
          </w:p>
        </w:tc>
        <w:tc>
          <w:tcPr>
            <w:tcW w:type="dxa" w:w="2864"/>
          </w:tcPr>
          <w:p>
            <w:pPr>
              <w:keepNext/>
              <w:spacing w:after="40"/>
              <w:jc w:val="left"/>
            </w:pPr>
            <w:r>
              <w:rPr>
                <w:rFonts w:ascii="Inter" w:hAnsi="Inter"/>
                <w:b/>
                <w:color w:val="1A1A1A"/>
                <w:sz w:val="19"/>
              </w:rPr>
              <w:t>No.</w:t>
            </w:r>
            <w:r>
              <w:rPr>
                <w:rFonts w:ascii="Inter" w:hAnsi="Inter"/>
                <w:b w:val="0"/>
                <w:color w:val="1A1A1A"/>
                <w:sz w:val="19"/>
              </w:rPr>
              <w:t xml:space="preserve"> The cohort is archived without them, and they follow when their own certificate is issued.</w:t>
            </w:r>
          </w:p>
        </w:tc>
        <w:tc>
          <w:tcPr>
            <w:tcW w:type="dxa" w:w="2864"/>
          </w:tcPr>
          <w:p>
            <w:pPr>
              <w:keepNext/>
              <w:spacing w:after="40"/>
              <w:jc w:val="left"/>
            </w:pPr>
            <w:r>
              <w:rPr>
                <w:rFonts w:ascii="Inter" w:hAnsi="Inter"/>
                <w:b w:val="0"/>
                <w:color w:val="1A1A1A"/>
                <w:sz w:val="19"/>
              </w:rPr>
              <w:t>One resit should not keep a whole cohort's evidence on the server for a year.</w:t>
            </w:r>
          </w:p>
        </w:tc>
      </w:tr>
      <w:tr>
        <w:tc>
          <w:tcPr>
            <w:tcW w:type="dxa" w:w="593"/>
            <w:shd w:val="clear" w:fill="F4F1EA"/>
          </w:tcPr>
          <w:p>
            <w:pPr>
              <w:spacing w:after="40"/>
              <w:jc w:val="left"/>
            </w:pPr>
            <w:r>
              <w:rPr>
                <w:rFonts w:ascii="Inter" w:hAnsi="Inter"/>
                <w:b w:val="0"/>
                <w:color w:val="1A1A1A"/>
                <w:sz w:val="19"/>
              </w:rPr>
              <w:t>6</w:t>
            </w:r>
          </w:p>
        </w:tc>
        <w:tc>
          <w:tcPr>
            <w:tcW w:type="dxa" w:w="2864"/>
            <w:shd w:val="clear" w:fill="F4F1EA"/>
          </w:tcPr>
          <w:p>
            <w:pPr>
              <w:spacing w:after="40"/>
              <w:jc w:val="left"/>
            </w:pPr>
            <w:r>
              <w:rPr>
                <w:rFonts w:ascii="Inter" w:hAnsi="Inter"/>
                <w:b/>
                <w:color w:val="1A1A1A"/>
                <w:sz w:val="19"/>
              </w:rPr>
              <w:t>For Heidi:</w:t>
            </w:r>
            <w:r>
              <w:rPr>
                <w:rFonts w:ascii="Inter" w:hAnsi="Inter"/>
                <w:b w:val="0"/>
                <w:color w:val="1A1A1A"/>
                <w:sz w:val="19"/>
              </w:rPr>
              <w:t xml:space="preserve"> the source of the five-year period</w:t>
            </w:r>
          </w:p>
        </w:tc>
        <w:tc>
          <w:tcPr>
            <w:tcW w:type="dxa" w:w="2864"/>
            <w:shd w:val="clear" w:fill="F4F1EA"/>
          </w:tcPr>
          <w:p>
            <w:pPr>
              <w:spacing w:after="40"/>
              <w:jc w:val="left"/>
            </w:pPr>
            <w:r>
              <w:rPr>
                <w:rFonts w:ascii="Inter" w:hAnsi="Inter"/>
                <w:b w:val="0"/>
                <w:color w:val="1A1A1A"/>
                <w:sz w:val="19"/>
              </w:rPr>
              <w:t>Still open</w:t>
            </w:r>
          </w:p>
        </w:tc>
        <w:tc>
          <w:tcPr>
            <w:tcW w:type="dxa" w:w="2864"/>
            <w:shd w:val="clear" w:fill="F4F1EA"/>
          </w:tcPr>
          <w:p>
            <w:pPr>
              <w:spacing w:after="40"/>
              <w:jc w:val="left"/>
            </w:pPr>
            <w:r>
              <w:rPr>
                <w:rFonts w:ascii="Inter" w:hAnsi="Inter"/>
                <w:b w:val="0"/>
                <w:color w:val="1A1A1A"/>
                <w:sz w:val="19"/>
              </w:rPr>
              <w:t>Needed so the figure can be shown to an auditor as a rule rather than a setting. See 4.3.</w:t>
            </w:r>
          </w:p>
        </w:tc>
      </w:tr>
    </w:tbl>
    <w:p>
      <w:pPr>
        <w:spacing w:after="80"/>
      </w:pPr>
    </w:p>
    <w:p>
      <w:pPr>
        <w:spacing w:after="40"/>
        <w:pBdr>
          <w:bottom w:val="single" w:sz="4" w:space="8" w:color="B9975B"/>
        </w:pBdr>
      </w:pPr>
    </w:p>
    <w:p>
      <w:pPr>
        <w:keepNext/>
        <w:spacing w:before="280" w:after="60"/>
        <w:pBdr>
          <w:bottom w:val="single" w:sz="4" w:space="8" w:color="B9975B"/>
        </w:pBdr>
      </w:pPr>
      <w:r>
        <w:rPr>
          <w:rFonts w:ascii="Montserrat" w:hAnsi="Montserrat"/>
          <w:b/>
          <w:color w:val="0D1E32"/>
          <w:sz w:val="28"/>
        </w:rPr>
        <w:t>Cost and effort</w:t>
      </w:r>
    </w:p>
    <w:p>
      <w:pPr>
        <w:spacing w:after="140"/>
      </w:pPr>
      <w:r>
        <w:rPr>
          <w:rFonts w:ascii="Inter" w:hAnsi="Inter"/>
          <w:b/>
          <w:color w:val="1A1A1A"/>
          <w:sz w:val="21"/>
        </w:rPr>
        <w:t>Disk:</w:t>
      </w:r>
      <w:r>
        <w:rPr>
          <w:rFonts w:ascii="Inter" w:hAnsi="Inter"/>
          <w:b w:val="0"/>
          <w:color w:val="1A1A1A"/>
          <w:sz w:val="21"/>
        </w:rPr>
        <w:t xml:space="preserve"> the archive is the same size as the evidence it holds, plus a few kilobytes of records per learner. Moving it off the server frees exactly that much, and removes it from the nightly backups, which is where the saving compounds: each gigabyte of evidence costs between 2.2 and 3 gigabytes of disk while it is on the server, counting the two nightly archives kept from 26 September.</w:t>
      </w:r>
    </w:p>
    <w:p>
      <w:pPr>
        <w:spacing w:after="140"/>
      </w:pPr>
      <w:r>
        <w:rPr>
          <w:rFonts w:ascii="Inter" w:hAnsi="Inter"/>
          <w:b/>
          <w:color w:val="1A1A1A"/>
          <w:sz w:val="21"/>
        </w:rPr>
        <w:t>Effort:</w:t>
      </w:r>
      <w:r>
        <w:rPr>
          <w:rFonts w:ascii="Inter" w:hAnsi="Inter"/>
          <w:b w:val="0"/>
          <w:color w:val="1A1A1A"/>
          <w:sz w:val="21"/>
        </w:rPr>
        <w:t xml:space="preserve"> comparable to the development site built this week, a few days of work. Nothing will be built until the decisions above are made, because the one thing it must not get wrong is removing evidence.</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