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Bdr>
          <w:bottom w:val="single" w:sz="12" w:space="8" w:color="B9975B"/>
        </w:pBdr>
      </w:pPr>
      <w:r>
        <w:rPr>
          <w:rFonts w:ascii="Montserrat" w:hAnsi="Montserrat"/>
          <w:b/>
          <w:color w:val="0D1E32"/>
          <w:sz w:val="44"/>
        </w:rPr>
        <w:t>Process flow, value chain and unit costs</w:t>
      </w:r>
    </w:p>
    <w:p>
      <w:pPr>
        <w:spacing w:after="140"/>
      </w:pPr>
      <w:r>
        <w:rPr>
          <w:rFonts w:ascii="Inter" w:hAnsi="Inter"/>
          <w:b/>
          <w:color w:val="1A1A1A"/>
          <w:sz w:val="20"/>
        </w:rPr>
        <w:t>For:</w:t>
      </w:r>
      <w:r>
        <w:rPr>
          <w:rFonts w:ascii="Inter" w:hAnsi="Inter"/>
          <w:b w:val="0"/>
          <w:color w:val="1A1A1A"/>
          <w:sz w:val="20"/>
        </w:rPr>
        <w:t xml:space="preserve"> Heidi Els, Curiosa Academy</w:t>
      </w:r>
      <w:r>
        <w:br/>
      </w:r>
      <w:r>
        <w:rPr>
          <w:rFonts w:ascii="Inter" w:hAnsi="Inter"/>
          <w:b/>
          <w:color w:val="1A1A1A"/>
          <w:sz w:val="20"/>
        </w:rPr>
        <w:t>From:</w:t>
      </w:r>
      <w:r>
        <w:rPr>
          <w:rFonts w:ascii="Inter" w:hAnsi="Inter"/>
          <w:b w:val="0"/>
          <w:color w:val="1A1A1A"/>
          <w:sz w:val="20"/>
        </w:rPr>
        <w:t xml:space="preserve"> Roland Jones, ROFT Strategic Workforce Advisory</w:t>
      </w:r>
      <w:r>
        <w:br/>
      </w:r>
      <w:r>
        <w:rPr>
          <w:rFonts w:ascii="Inter" w:hAnsi="Inter"/>
          <w:b/>
          <w:color w:val="1A1A1A"/>
          <w:sz w:val="20"/>
        </w:rPr>
        <w:t>Date:</w:t>
      </w:r>
      <w:r>
        <w:rPr>
          <w:rFonts w:ascii="Inter" w:hAnsi="Inter"/>
          <w:b w:val="0"/>
          <w:color w:val="1A1A1A"/>
          <w:sz w:val="20"/>
        </w:rPr>
        <w:t xml:space="preserve"> 22 September 2026</w:t>
      </w:r>
      <w:r>
        <w:br/>
      </w:r>
      <w:r>
        <w:rPr>
          <w:rFonts w:ascii="Inter" w:hAnsi="Inter"/>
          <w:b/>
          <w:color w:val="1A1A1A"/>
          <w:sz w:val="20"/>
        </w:rPr>
        <w:t>For the meeting of:</w:t>
      </w:r>
      <w:r>
        <w:rPr>
          <w:rFonts w:ascii="Inter" w:hAnsi="Inter"/>
          <w:b w:val="0"/>
          <w:color w:val="1A1A1A"/>
          <w:sz w:val="20"/>
        </w:rPr>
        <w:t xml:space="preserve"> Wednesday 23 September 2026, 10:00</w:t>
      </w:r>
    </w:p>
    <w:p>
      <w:pPr>
        <w:spacing w:after="40"/>
        <w:pBdr>
          <w:bottom w:val="single" w:sz="4" w:space="8" w:color="B9975B"/>
        </w:pBdr>
      </w:pPr>
    </w:p>
    <w:p>
      <w:pPr>
        <w:spacing w:before="280" w:after="60"/>
      </w:pPr>
      <w:r>
        <w:rPr>
          <w:rFonts w:ascii="Montserrat" w:hAnsi="Montserrat"/>
          <w:b/>
          <w:color w:val="0D1E32"/>
          <w:sz w:val="28"/>
        </w:rPr>
        <w:t>What this is, and what it is not</w:t>
      </w:r>
    </w:p>
    <w:p>
      <w:pPr>
        <w:spacing w:after="140"/>
      </w:pPr>
      <w:r>
        <w:rPr>
          <w:rFonts w:ascii="Inter" w:hAnsi="Inter"/>
          <w:b w:val="0"/>
          <w:color w:val="1A1A1A"/>
          <w:sz w:val="20"/>
        </w:rPr>
        <w:t>Heidi's requirement is that cost is traceable through the chain rather than estimated at the end. This document sets out the chain, names the cost driver at each step, and keeps three kinds of number strictly apart:</w:t>
      </w:r>
    </w:p>
    <w:tbl>
      <w:tblPr>
        <w:tblStyle w:val="TableGrid"/>
        <w:tblW w:type="auto" w:w="0"/>
        <w:jc w:val="center"/>
        <w:tblLook w:firstColumn="1" w:firstRow="1" w:lastColumn="0" w:lastRow="0" w:noHBand="0" w:noVBand="1" w:val="04A0"/>
      </w:tblPr>
      <w:tblGrid>
        <w:gridCol w:w="4759"/>
        <w:gridCol w:w="4759"/>
      </w:tblGrid>
      <w:tr>
        <w:tc>
          <w:tcPr>
            <w:tcW w:type="dxa" w:w="4759"/>
            <w:shd w:val="clear" w:fill="0D1E32"/>
          </w:tcPr>
          <w:p>
            <w:pPr>
              <w:spacing w:after="40"/>
            </w:pPr>
            <w:r>
              <w:rPr>
                <w:rFonts w:ascii="Montserrat" w:hAnsi="Montserrat"/>
                <w:b/>
                <w:color w:val="FFFFFF"/>
                <w:sz w:val="18"/>
              </w:rPr>
              <w:t>Label</w:t>
            </w:r>
          </w:p>
        </w:tc>
        <w:tc>
          <w:tcPr>
            <w:tcW w:type="dxa" w:w="4759"/>
            <w:shd w:val="clear" w:fill="0D1E32"/>
          </w:tcPr>
          <w:p>
            <w:pPr>
              <w:spacing w:after="40"/>
            </w:pPr>
            <w:r>
              <w:rPr>
                <w:rFonts w:ascii="Montserrat" w:hAnsi="Montserrat"/>
                <w:b/>
                <w:color w:val="FFFFFF"/>
                <w:sz w:val="18"/>
              </w:rPr>
              <w:t>Meaning</w:t>
            </w:r>
          </w:p>
        </w:tc>
      </w:tr>
      <w:tr>
        <w:tc>
          <w:tcPr>
            <w:tcW w:type="dxa" w:w="4759"/>
          </w:tcPr>
          <w:p>
            <w:pPr>
              <w:spacing w:after="40"/>
              <w:jc w:val="left"/>
            </w:pPr>
            <w:r>
              <w:rPr>
                <w:rFonts w:ascii="Inter" w:hAnsi="Inter"/>
                <w:b/>
                <w:color w:val="1A1A1A"/>
                <w:sz w:val="18"/>
              </w:rPr>
              <w:t>Measured</w:t>
            </w:r>
          </w:p>
        </w:tc>
        <w:tc>
          <w:tcPr>
            <w:tcW w:type="dxa" w:w="4759"/>
          </w:tcPr>
          <w:p>
            <w:pPr>
              <w:spacing w:after="40"/>
              <w:jc w:val="left"/>
            </w:pPr>
            <w:r>
              <w:rPr>
                <w:rFonts w:ascii="Inter" w:hAnsi="Inter"/>
                <w:b w:val="0"/>
                <w:color w:val="1A1A1A"/>
                <w:sz w:val="18"/>
              </w:rPr>
              <w:t>Taken off the running platform or out of the QCTO document. A date is given.</w:t>
            </w:r>
          </w:p>
        </w:tc>
      </w:tr>
      <w:tr>
        <w:tc>
          <w:tcPr>
            <w:tcW w:type="dxa" w:w="4759"/>
            <w:shd w:val="clear" w:fill="F4F1EA"/>
          </w:tcPr>
          <w:p>
            <w:pPr>
              <w:spacing w:after="40"/>
              <w:jc w:val="left"/>
            </w:pPr>
            <w:r>
              <w:rPr>
                <w:rFonts w:ascii="Inter" w:hAnsi="Inter"/>
                <w:b/>
                <w:color w:val="1A1A1A"/>
                <w:sz w:val="18"/>
              </w:rPr>
              <w:t>Quoted</w:t>
            </w:r>
          </w:p>
        </w:tc>
        <w:tc>
          <w:tcPr>
            <w:tcW w:type="dxa" w:w="4759"/>
            <w:shd w:val="clear" w:fill="F4F1EA"/>
          </w:tcPr>
          <w:p>
            <w:pPr>
              <w:spacing w:after="40"/>
              <w:jc w:val="left"/>
            </w:pPr>
            <w:r>
              <w:rPr>
                <w:rFonts w:ascii="Inter" w:hAnsi="Inter"/>
                <w:b w:val="0"/>
                <w:color w:val="1A1A1A"/>
                <w:sz w:val="18"/>
              </w:rPr>
              <w:t>Waiting on a supplier. Named, not guessed.</w:t>
            </w:r>
          </w:p>
        </w:tc>
      </w:tr>
      <w:tr>
        <w:tc>
          <w:tcPr>
            <w:tcW w:type="dxa" w:w="4759"/>
          </w:tcPr>
          <w:p>
            <w:pPr>
              <w:spacing w:after="40"/>
              <w:jc w:val="left"/>
            </w:pPr>
            <w:r>
              <w:rPr>
                <w:rFonts w:ascii="Inter" w:hAnsi="Inter"/>
                <w:b/>
                <w:color w:val="1A1A1A"/>
                <w:sz w:val="18"/>
              </w:rPr>
              <w:t>To supply</w:t>
            </w:r>
          </w:p>
        </w:tc>
        <w:tc>
          <w:tcPr>
            <w:tcW w:type="dxa" w:w="4759"/>
          </w:tcPr>
          <w:p>
            <w:pPr>
              <w:spacing w:after="40"/>
              <w:jc w:val="left"/>
            </w:pPr>
            <w:r>
              <w:rPr>
                <w:rFonts w:ascii="Inter" w:hAnsi="Inter"/>
                <w:b w:val="0"/>
                <w:color w:val="1A1A1A"/>
                <w:sz w:val="18"/>
              </w:rPr>
              <w:t>Curiosa's own figure, which ROFT cannot know.</w:t>
            </w:r>
          </w:p>
        </w:tc>
      </w:tr>
    </w:tbl>
    <w:p>
      <w:pPr>
        <w:spacing w:after="80"/>
      </w:pPr>
    </w:p>
    <w:p>
      <w:pPr>
        <w:spacing w:after="140"/>
      </w:pPr>
      <w:r>
        <w:rPr>
          <w:rFonts w:ascii="Inter" w:hAnsi="Inter"/>
          <w:b w:val="0"/>
          <w:color w:val="1A1A1A"/>
          <w:sz w:val="20"/>
        </w:rPr>
        <w:t>Nothing here is an estimate presented as a measurement. Five figures are still outstanding and they are listed in section 6. The structure of the model holds without them. The totals do not, so no total is given.</w:t>
      </w:r>
    </w:p>
    <w:p>
      <w:pPr>
        <w:spacing w:after="40"/>
        <w:pBdr>
          <w:bottom w:val="single" w:sz="4" w:space="8" w:color="B9975B"/>
        </w:pBdr>
      </w:pPr>
    </w:p>
    <w:p>
      <w:pPr>
        <w:spacing w:before="280" w:after="60"/>
        <w:pBdr>
          <w:bottom w:val="single" w:sz="4" w:space="8" w:color="B9975B"/>
        </w:pBdr>
      </w:pPr>
      <w:r>
        <w:rPr>
          <w:rFonts w:ascii="Montserrat" w:hAnsi="Montserrat"/>
          <w:b/>
          <w:color w:val="0D1E32"/>
          <w:sz w:val="28"/>
        </w:rPr>
        <w:t>1. The process flow</w:t>
      </w:r>
    </w:p>
    <w:p>
      <w:pPr>
        <w:spacing w:after="140"/>
      </w:pPr>
      <w:r>
        <w:rPr>
          <w:rFonts w:ascii="Inter" w:hAnsi="Inter"/>
          <w:b w:val="0"/>
          <w:color w:val="1A1A1A"/>
          <w:sz w:val="20"/>
        </w:rPr>
        <w:t>Seven stages, from a provider being accredited to a learner's record being disposed of. The right-hand column is what the cost attaches to, which is the part that makes the chain traceable.</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fill="0D1E32"/>
          </w:tcPr>
          <w:p>
            <w:pPr>
              <w:spacing w:after="40"/>
            </w:pPr>
            <w:r>
              <w:rPr>
                <w:rFonts w:ascii="Montserrat" w:hAnsi="Montserrat"/>
                <w:b/>
                <w:color w:val="FFFFFF"/>
                <w:sz w:val="18"/>
              </w:rPr>
              <w:t>#</w:t>
            </w:r>
          </w:p>
        </w:tc>
        <w:tc>
          <w:tcPr>
            <w:tcW w:type="dxa" w:w="2379"/>
            <w:shd w:val="clear" w:fill="0D1E32"/>
          </w:tcPr>
          <w:p>
            <w:pPr>
              <w:spacing w:after="40"/>
            </w:pPr>
            <w:r>
              <w:rPr>
                <w:rFonts w:ascii="Montserrat" w:hAnsi="Montserrat"/>
                <w:b/>
                <w:color w:val="FFFFFF"/>
                <w:sz w:val="18"/>
              </w:rPr>
              <w:t>Stage</w:t>
            </w:r>
          </w:p>
        </w:tc>
        <w:tc>
          <w:tcPr>
            <w:tcW w:type="dxa" w:w="2379"/>
            <w:shd w:val="clear" w:fill="0D1E32"/>
          </w:tcPr>
          <w:p>
            <w:pPr>
              <w:spacing w:after="40"/>
            </w:pPr>
            <w:r>
              <w:rPr>
                <w:rFonts w:ascii="Montserrat" w:hAnsi="Montserrat"/>
                <w:b/>
                <w:color w:val="FFFFFF"/>
                <w:sz w:val="18"/>
              </w:rPr>
              <w:t>What the platform does</w:t>
            </w:r>
          </w:p>
        </w:tc>
        <w:tc>
          <w:tcPr>
            <w:tcW w:type="dxa" w:w="2379"/>
            <w:shd w:val="clear" w:fill="0D1E32"/>
          </w:tcPr>
          <w:p>
            <w:pPr>
              <w:spacing w:after="40"/>
            </w:pPr>
            <w:r>
              <w:rPr>
                <w:rFonts w:ascii="Montserrat" w:hAnsi="Montserrat"/>
                <w:b/>
                <w:color w:val="FFFFFF"/>
                <w:sz w:val="18"/>
              </w:rPr>
              <w:t>Cost lands</w:t>
            </w:r>
          </w:p>
        </w:tc>
      </w:tr>
      <w:tr>
        <w:tc>
          <w:tcPr>
            <w:tcW w:type="dxa" w:w="2379"/>
          </w:tcPr>
          <w:p>
            <w:pPr>
              <w:spacing w:after="40"/>
              <w:jc w:val="left"/>
            </w:pPr>
            <w:r>
              <w:rPr>
                <w:rFonts w:ascii="Inter" w:hAnsi="Inter"/>
                <w:b w:val="0"/>
                <w:color w:val="1A1A1A"/>
                <w:sz w:val="18"/>
              </w:rPr>
              <w:t>A</w:t>
            </w:r>
          </w:p>
        </w:tc>
        <w:tc>
          <w:tcPr>
            <w:tcW w:type="dxa" w:w="2379"/>
          </w:tcPr>
          <w:p>
            <w:pPr>
              <w:spacing w:after="40"/>
              <w:jc w:val="left"/>
            </w:pPr>
            <w:r>
              <w:rPr>
                <w:rFonts w:ascii="Inter" w:hAnsi="Inter"/>
                <w:b w:val="0"/>
                <w:color w:val="1A1A1A"/>
                <w:sz w:val="18"/>
              </w:rPr>
              <w:t>Provider setup</w:t>
            </w:r>
          </w:p>
        </w:tc>
        <w:tc>
          <w:tcPr>
            <w:tcW w:type="dxa" w:w="2379"/>
          </w:tcPr>
          <w:p>
            <w:pPr>
              <w:spacing w:after="40"/>
              <w:jc w:val="left"/>
            </w:pPr>
            <w:r>
              <w:rPr>
                <w:rFonts w:ascii="Inter" w:hAnsi="Inter"/>
                <w:b w:val="0"/>
                <w:color w:val="1A1A1A"/>
                <w:sz w:val="18"/>
              </w:rPr>
              <w:t>Creates the tenant, its branding, its roles, its filing rules</w:t>
            </w:r>
          </w:p>
        </w:tc>
        <w:tc>
          <w:tcPr>
            <w:tcW w:type="dxa" w:w="2379"/>
          </w:tcPr>
          <w:p>
            <w:pPr>
              <w:spacing w:after="40"/>
              <w:jc w:val="left"/>
            </w:pPr>
            <w:r>
              <w:rPr>
                <w:rFonts w:ascii="Inter" w:hAnsi="Inter"/>
                <w:b w:val="0"/>
                <w:color w:val="1A1A1A"/>
                <w:sz w:val="18"/>
              </w:rPr>
              <w:t>Once per provider</w:t>
            </w:r>
          </w:p>
        </w:tc>
      </w:tr>
      <w:tr>
        <w:tc>
          <w:tcPr>
            <w:tcW w:type="dxa" w:w="2379"/>
            <w:shd w:val="clear" w:fill="F4F1EA"/>
          </w:tcPr>
          <w:p>
            <w:pPr>
              <w:spacing w:after="40"/>
              <w:jc w:val="left"/>
            </w:pPr>
            <w:r>
              <w:rPr>
                <w:rFonts w:ascii="Inter" w:hAnsi="Inter"/>
                <w:b w:val="0"/>
                <w:color w:val="1A1A1A"/>
                <w:sz w:val="18"/>
              </w:rPr>
              <w:t>B</w:t>
            </w:r>
          </w:p>
        </w:tc>
        <w:tc>
          <w:tcPr>
            <w:tcW w:type="dxa" w:w="2379"/>
            <w:shd w:val="clear" w:fill="F4F1EA"/>
          </w:tcPr>
          <w:p>
            <w:pPr>
              <w:spacing w:after="40"/>
              <w:jc w:val="left"/>
            </w:pPr>
            <w:r>
              <w:rPr>
                <w:rFonts w:ascii="Inter" w:hAnsi="Inter"/>
                <w:b w:val="0"/>
                <w:color w:val="1A1A1A"/>
                <w:sz w:val="18"/>
              </w:rPr>
              <w:t>Programme onboarding</w:t>
            </w:r>
          </w:p>
        </w:tc>
        <w:tc>
          <w:tcPr>
            <w:tcW w:type="dxa" w:w="2379"/>
            <w:shd w:val="clear" w:fill="F4F1EA"/>
          </w:tcPr>
          <w:p>
            <w:pPr>
              <w:spacing w:after="40"/>
              <w:jc w:val="left"/>
            </w:pPr>
            <w:r>
              <w:rPr>
                <w:rFonts w:ascii="Inter" w:hAnsi="Inter"/>
                <w:b w:val="0"/>
                <w:color w:val="1A1A1A"/>
                <w:sz w:val="18"/>
              </w:rPr>
              <w:t>Reads the curriculum, the study units and the material from the provider's folder</w:t>
            </w:r>
          </w:p>
        </w:tc>
        <w:tc>
          <w:tcPr>
            <w:tcW w:type="dxa" w:w="2379"/>
            <w:shd w:val="clear" w:fill="F4F1EA"/>
          </w:tcPr>
          <w:p>
            <w:pPr>
              <w:spacing w:after="40"/>
              <w:jc w:val="left"/>
            </w:pPr>
            <w:r>
              <w:rPr>
                <w:rFonts w:ascii="Inter" w:hAnsi="Inter"/>
                <w:b w:val="0"/>
                <w:color w:val="1A1A1A"/>
                <w:sz w:val="18"/>
              </w:rPr>
              <w:t>Once per qualification</w:t>
            </w:r>
          </w:p>
        </w:tc>
      </w:tr>
      <w:tr>
        <w:tc>
          <w:tcPr>
            <w:tcW w:type="dxa" w:w="2379"/>
          </w:tcPr>
          <w:p>
            <w:pPr>
              <w:spacing w:after="40"/>
              <w:jc w:val="left"/>
            </w:pPr>
            <w:r>
              <w:rPr>
                <w:rFonts w:ascii="Inter" w:hAnsi="Inter"/>
                <w:b w:val="0"/>
                <w:color w:val="1A1A1A"/>
                <w:sz w:val="18"/>
              </w:rPr>
              <w:t>C</w:t>
            </w:r>
          </w:p>
        </w:tc>
        <w:tc>
          <w:tcPr>
            <w:tcW w:type="dxa" w:w="2379"/>
          </w:tcPr>
          <w:p>
            <w:pPr>
              <w:spacing w:after="40"/>
              <w:jc w:val="left"/>
            </w:pPr>
            <w:r>
              <w:rPr>
                <w:rFonts w:ascii="Inter" w:hAnsi="Inter"/>
                <w:b w:val="0"/>
                <w:color w:val="1A1A1A"/>
                <w:sz w:val="18"/>
              </w:rPr>
              <w:t>Cohort setup</w:t>
            </w:r>
          </w:p>
        </w:tc>
        <w:tc>
          <w:tcPr>
            <w:tcW w:type="dxa" w:w="2379"/>
          </w:tcPr>
          <w:p>
            <w:pPr>
              <w:spacing w:after="40"/>
              <w:jc w:val="left"/>
            </w:pPr>
            <w:r>
              <w:rPr>
                <w:rFonts w:ascii="Inter" w:hAnsi="Inter"/>
                <w:b w:val="0"/>
                <w:color w:val="1A1A1A"/>
                <w:sz w:val="18"/>
              </w:rPr>
              <w:t>Enrols learners, assigns facilitators, assessors and moderators</w:t>
            </w:r>
          </w:p>
        </w:tc>
        <w:tc>
          <w:tcPr>
            <w:tcW w:type="dxa" w:w="2379"/>
          </w:tcPr>
          <w:p>
            <w:pPr>
              <w:spacing w:after="40"/>
              <w:jc w:val="left"/>
            </w:pPr>
            <w:r>
              <w:rPr>
                <w:rFonts w:ascii="Inter" w:hAnsi="Inter"/>
                <w:b w:val="0"/>
                <w:color w:val="1A1A1A"/>
                <w:sz w:val="18"/>
              </w:rPr>
              <w:t>Once per cohort</w:t>
            </w:r>
          </w:p>
        </w:tc>
      </w:tr>
      <w:tr>
        <w:tc>
          <w:tcPr>
            <w:tcW w:type="dxa" w:w="2379"/>
            <w:shd w:val="clear" w:fill="F4F1EA"/>
          </w:tcPr>
          <w:p>
            <w:pPr>
              <w:spacing w:after="40"/>
              <w:jc w:val="left"/>
            </w:pPr>
            <w:r>
              <w:rPr>
                <w:rFonts w:ascii="Inter" w:hAnsi="Inter"/>
                <w:b w:val="0"/>
                <w:color w:val="1A1A1A"/>
                <w:sz w:val="18"/>
              </w:rPr>
              <w:t>D</w:t>
            </w:r>
          </w:p>
        </w:tc>
        <w:tc>
          <w:tcPr>
            <w:tcW w:type="dxa" w:w="2379"/>
            <w:shd w:val="clear" w:fill="F4F1EA"/>
          </w:tcPr>
          <w:p>
            <w:pPr>
              <w:spacing w:after="40"/>
              <w:jc w:val="left"/>
            </w:pPr>
            <w:r>
              <w:rPr>
                <w:rFonts w:ascii="Inter" w:hAnsi="Inter"/>
                <w:b w:val="0"/>
                <w:color w:val="1A1A1A"/>
                <w:sz w:val="18"/>
              </w:rPr>
              <w:t>Delivery</w:t>
            </w:r>
          </w:p>
        </w:tc>
        <w:tc>
          <w:tcPr>
            <w:tcW w:type="dxa" w:w="2379"/>
            <w:shd w:val="clear" w:fill="F4F1EA"/>
          </w:tcPr>
          <w:p>
            <w:pPr>
              <w:spacing w:after="40"/>
              <w:jc w:val="left"/>
            </w:pPr>
            <w:r>
              <w:rPr>
                <w:rFonts w:ascii="Inter" w:hAnsi="Inter"/>
                <w:b w:val="0"/>
                <w:color w:val="1A1A1A"/>
                <w:sz w:val="18"/>
              </w:rPr>
              <w:t>Serves the material, tracks progress, holds workbooks</w:t>
            </w:r>
          </w:p>
        </w:tc>
        <w:tc>
          <w:tcPr>
            <w:tcW w:type="dxa" w:w="2379"/>
            <w:shd w:val="clear" w:fill="F4F1EA"/>
          </w:tcPr>
          <w:p>
            <w:pPr>
              <w:spacing w:after="40"/>
              <w:jc w:val="left"/>
            </w:pPr>
            <w:r>
              <w:rPr>
                <w:rFonts w:ascii="Inter" w:hAnsi="Inter"/>
                <w:b w:val="0"/>
                <w:color w:val="1A1A1A"/>
                <w:sz w:val="18"/>
              </w:rPr>
              <w:t>Per learner, per programme</w:t>
            </w:r>
          </w:p>
        </w:tc>
      </w:tr>
      <w:tr>
        <w:tc>
          <w:tcPr>
            <w:tcW w:type="dxa" w:w="2379"/>
          </w:tcPr>
          <w:p>
            <w:pPr>
              <w:spacing w:after="40"/>
              <w:jc w:val="left"/>
            </w:pPr>
            <w:r>
              <w:rPr>
                <w:rFonts w:ascii="Inter" w:hAnsi="Inter"/>
                <w:b w:val="0"/>
                <w:color w:val="1A1A1A"/>
                <w:sz w:val="18"/>
              </w:rPr>
              <w:t>E</w:t>
            </w:r>
          </w:p>
        </w:tc>
        <w:tc>
          <w:tcPr>
            <w:tcW w:type="dxa" w:w="2379"/>
          </w:tcPr>
          <w:p>
            <w:pPr>
              <w:spacing w:after="40"/>
              <w:jc w:val="left"/>
            </w:pPr>
            <w:r>
              <w:rPr>
                <w:rFonts w:ascii="Inter" w:hAnsi="Inter"/>
                <w:b w:val="0"/>
                <w:color w:val="1A1A1A"/>
                <w:sz w:val="18"/>
              </w:rPr>
              <w:t>Internal assessment and moderation</w:t>
            </w:r>
          </w:p>
        </w:tc>
        <w:tc>
          <w:tcPr>
            <w:tcW w:type="dxa" w:w="2379"/>
          </w:tcPr>
          <w:p>
            <w:pPr>
              <w:spacing w:after="40"/>
              <w:jc w:val="left"/>
            </w:pPr>
            <w:r>
              <w:rPr>
                <w:rFonts w:ascii="Inter" w:hAnsi="Inter"/>
                <w:b w:val="0"/>
                <w:color w:val="1A1A1A"/>
                <w:sz w:val="18"/>
              </w:rPr>
              <w:t>Holds submissions, marks, moderation decisions and appeals</w:t>
            </w:r>
          </w:p>
        </w:tc>
        <w:tc>
          <w:tcPr>
            <w:tcW w:type="dxa" w:w="2379"/>
          </w:tcPr>
          <w:p>
            <w:pPr>
              <w:spacing w:after="40"/>
              <w:jc w:val="left"/>
            </w:pPr>
            <w:r>
              <w:rPr>
                <w:rFonts w:ascii="Inter" w:hAnsi="Inter"/>
                <w:b w:val="0"/>
                <w:color w:val="1A1A1A"/>
                <w:sz w:val="18"/>
              </w:rPr>
              <w:t>Per learner, per module</w:t>
            </w:r>
          </w:p>
        </w:tc>
      </w:tr>
      <w:tr>
        <w:tc>
          <w:tcPr>
            <w:tcW w:type="dxa" w:w="2379"/>
            <w:shd w:val="clear" w:fill="F4F1EA"/>
          </w:tcPr>
          <w:p>
            <w:pPr>
              <w:spacing w:after="40"/>
              <w:jc w:val="left"/>
            </w:pPr>
            <w:r>
              <w:rPr>
                <w:rFonts w:ascii="Inter" w:hAnsi="Inter"/>
                <w:b w:val="0"/>
                <w:color w:val="1A1A1A"/>
                <w:sz w:val="18"/>
              </w:rPr>
              <w:t>F</w:t>
            </w:r>
          </w:p>
        </w:tc>
        <w:tc>
          <w:tcPr>
            <w:tcW w:type="dxa" w:w="2379"/>
            <w:shd w:val="clear" w:fill="F4F1EA"/>
          </w:tcPr>
          <w:p>
            <w:pPr>
              <w:spacing w:after="40"/>
              <w:jc w:val="left"/>
            </w:pPr>
            <w:r>
              <w:rPr>
                <w:rFonts w:ascii="Inter" w:hAnsi="Inter"/>
                <w:b w:val="0"/>
                <w:color w:val="1A1A1A"/>
                <w:sz w:val="18"/>
              </w:rPr>
              <w:t>External assessment and certification</w:t>
            </w:r>
          </w:p>
        </w:tc>
        <w:tc>
          <w:tcPr>
            <w:tcW w:type="dxa" w:w="2379"/>
            <w:shd w:val="clear" w:fill="F4F1EA"/>
          </w:tcPr>
          <w:p>
            <w:pPr>
              <w:spacing w:after="40"/>
              <w:jc w:val="left"/>
            </w:pPr>
            <w:r>
              <w:rPr>
                <w:rFonts w:ascii="Inter" w:hAnsi="Inter"/>
                <w:b w:val="0"/>
                <w:color w:val="1A1A1A"/>
                <w:sz w:val="18"/>
              </w:rPr>
              <w:t>EISA readiness, the sitting, the Statement of Results, the certificate</w:t>
            </w:r>
          </w:p>
        </w:tc>
        <w:tc>
          <w:tcPr>
            <w:tcW w:type="dxa" w:w="2379"/>
            <w:shd w:val="clear" w:fill="F4F1EA"/>
          </w:tcPr>
          <w:p>
            <w:pPr>
              <w:spacing w:after="40"/>
              <w:jc w:val="left"/>
            </w:pPr>
            <w:r>
              <w:rPr>
                <w:rFonts w:ascii="Inter" w:hAnsi="Inter"/>
                <w:b w:val="0"/>
                <w:color w:val="1A1A1A"/>
                <w:sz w:val="18"/>
              </w:rPr>
              <w:t>Per learner</w:t>
            </w:r>
          </w:p>
        </w:tc>
      </w:tr>
      <w:tr>
        <w:tc>
          <w:tcPr>
            <w:tcW w:type="dxa" w:w="2379"/>
          </w:tcPr>
          <w:p>
            <w:pPr>
              <w:spacing w:after="40"/>
              <w:jc w:val="left"/>
            </w:pPr>
            <w:r>
              <w:rPr>
                <w:rFonts w:ascii="Inter" w:hAnsi="Inter"/>
                <w:b w:val="0"/>
                <w:color w:val="1A1A1A"/>
                <w:sz w:val="18"/>
              </w:rPr>
              <w:t>G</w:t>
            </w:r>
          </w:p>
        </w:tc>
        <w:tc>
          <w:tcPr>
            <w:tcW w:type="dxa" w:w="2379"/>
          </w:tcPr>
          <w:p>
            <w:pPr>
              <w:spacing w:after="40"/>
              <w:jc w:val="left"/>
            </w:pPr>
            <w:r>
              <w:rPr>
                <w:rFonts w:ascii="Inter" w:hAnsi="Inter"/>
                <w:b w:val="0"/>
                <w:color w:val="1A1A1A"/>
                <w:sz w:val="18"/>
              </w:rPr>
              <w:t>Retention and availability</w:t>
            </w:r>
          </w:p>
        </w:tc>
        <w:tc>
          <w:tcPr>
            <w:tcW w:type="dxa" w:w="2379"/>
          </w:tcPr>
          <w:p>
            <w:pPr>
              <w:spacing w:after="40"/>
              <w:jc w:val="left"/>
            </w:pPr>
            <w:r>
              <w:rPr>
                <w:rFonts w:ascii="Inter" w:hAnsi="Inter"/>
                <w:b w:val="0"/>
                <w:color w:val="1A1A1A"/>
                <w:sz w:val="18"/>
              </w:rPr>
              <w:t>Keeps the record and its evidence available for the retention period</w:t>
            </w:r>
          </w:p>
        </w:tc>
        <w:tc>
          <w:tcPr>
            <w:tcW w:type="dxa" w:w="2379"/>
          </w:tcPr>
          <w:p>
            <w:pPr>
              <w:spacing w:after="40"/>
              <w:jc w:val="left"/>
            </w:pPr>
            <w:r>
              <w:rPr>
                <w:rFonts w:ascii="Inter" w:hAnsi="Inter"/>
                <w:b/>
                <w:color w:val="1A1A1A"/>
                <w:sz w:val="18"/>
              </w:rPr>
              <w:t>Per learner, per year, after they have left</w:t>
            </w:r>
          </w:p>
        </w:tc>
      </w:tr>
    </w:tbl>
    <w:p>
      <w:pPr>
        <w:spacing w:after="80"/>
      </w:pPr>
    </w:p>
    <w:p>
      <w:pPr>
        <w:spacing w:after="140"/>
      </w:pPr>
      <w:r>
        <w:rPr>
          <w:rFonts w:ascii="Inter" w:hAnsi="Inter"/>
          <w:b w:val="0"/>
          <w:color w:val="1A1A1A"/>
          <w:sz w:val="20"/>
        </w:rPr>
        <w:t>Stage G is the one that is easy to leave out of a price and expensive to leave out of a price. A learner stops consuming delivery on the day they certificate and carries on consuming storage for years afterwards. Roland raised this and Heidi agreed it belongs in learner billing.</w:t>
      </w:r>
    </w:p>
    <w:p>
      <w:pPr>
        <w:spacing w:after="40"/>
        <w:pBdr>
          <w:bottom w:val="single" w:sz="4" w:space="8" w:color="B9975B"/>
        </w:pBdr>
      </w:pPr>
    </w:p>
    <w:p>
      <w:pPr>
        <w:spacing w:before="280" w:after="60"/>
        <w:pBdr>
          <w:bottom w:val="single" w:sz="4" w:space="8" w:color="B9975B"/>
        </w:pBdr>
      </w:pPr>
      <w:r>
        <w:rPr>
          <w:rFonts w:ascii="Montserrat" w:hAnsi="Montserrat"/>
          <w:b/>
          <w:color w:val="0D1E32"/>
          <w:sz w:val="28"/>
        </w:rPr>
        <w:t>2. Where cost actually lands</w:t>
      </w:r>
    </w:p>
    <w:p>
      <w:pPr>
        <w:spacing w:after="140"/>
      </w:pPr>
      <w:r>
        <w:rPr>
          <w:rFonts w:ascii="Inter" w:hAnsi="Inter"/>
          <w:b w:val="0"/>
          <w:color w:val="1A1A1A"/>
          <w:sz w:val="20"/>
        </w:rPr>
        <w:t>Three buckets. Only two of them scale.</w:t>
      </w:r>
    </w:p>
    <w:p>
      <w:pPr>
        <w:pStyle w:val="ListNumber"/>
        <w:spacing w:after="60"/>
      </w:pPr>
      <w:r>
        <w:rPr>
          <w:rFonts w:ascii="Inter" w:hAnsi="Inter"/>
          <w:b/>
          <w:color w:val="1A1A1A"/>
          <w:sz w:val="20"/>
        </w:rPr>
        <w:t>Fixed.</w:t>
      </w:r>
      <w:r>
        <w:rPr>
          <w:rFonts w:ascii="Inter" w:hAnsi="Inter"/>
          <w:b w:val="0"/>
          <w:color w:val="1A1A1A"/>
          <w:sz w:val="20"/>
        </w:rPr>
        <w:t xml:space="preserve"> The server, the operating system, the application images, the database baseline. Independent of how many tenants or learners there are.</w:t>
      </w:r>
    </w:p>
    <w:p>
      <w:pPr>
        <w:pStyle w:val="ListNumber"/>
        <w:spacing w:after="60"/>
      </w:pPr>
      <w:r>
        <w:rPr>
          <w:rFonts w:ascii="Inter" w:hAnsi="Inter"/>
          <w:b/>
          <w:color w:val="1A1A1A"/>
          <w:sz w:val="20"/>
        </w:rPr>
        <w:t>Per tenant.</w:t>
      </w:r>
      <w:r>
        <w:rPr>
          <w:rFonts w:ascii="Inter" w:hAnsi="Inter"/>
          <w:b w:val="0"/>
          <w:color w:val="1A1A1A"/>
          <w:sz w:val="20"/>
        </w:rPr>
        <w:t xml:space="preserve"> Grows with the number of qualifications loaded, not with the number of learners.</w:t>
      </w:r>
    </w:p>
    <w:p>
      <w:pPr>
        <w:pStyle w:val="ListNumber"/>
        <w:spacing w:after="60"/>
      </w:pPr>
      <w:r>
        <w:rPr>
          <w:rFonts w:ascii="Inter" w:hAnsi="Inter"/>
          <w:b/>
          <w:color w:val="1A1A1A"/>
          <w:sz w:val="20"/>
        </w:rPr>
        <w:t>Per learner.</w:t>
      </w:r>
      <w:r>
        <w:rPr>
          <w:rFonts w:ascii="Inter" w:hAnsi="Inter"/>
          <w:b w:val="0"/>
          <w:color w:val="1A1A1A"/>
          <w:sz w:val="20"/>
        </w:rPr>
        <w:t xml:space="preserve"> Grows with enrolment, and keeps running after exit for the whole retention period.</w:t>
      </w:r>
    </w:p>
    <w:p>
      <w:pPr>
        <w:spacing w:after="40"/>
        <w:pBdr>
          <w:bottom w:val="single" w:sz="4" w:space="8" w:color="B9975B"/>
        </w:pBdr>
      </w:pPr>
    </w:p>
    <w:p>
      <w:pPr>
        <w:spacing w:before="280" w:after="60"/>
        <w:pBdr>
          <w:bottom w:val="single" w:sz="4" w:space="8" w:color="B9975B"/>
        </w:pBdr>
      </w:pPr>
      <w:r>
        <w:rPr>
          <w:rFonts w:ascii="Montserrat" w:hAnsi="Montserrat"/>
          <w:b/>
          <w:color w:val="0D1E32"/>
          <w:sz w:val="28"/>
        </w:rPr>
        <w:t>3. Measured figures</w:t>
      </w:r>
    </w:p>
    <w:p>
      <w:pPr>
        <w:spacing w:before="200" w:after="60"/>
      </w:pPr>
      <w:r>
        <w:rPr>
          <w:rFonts w:ascii="Montserrat" w:hAnsi="Montserrat"/>
          <w:b/>
          <w:color w:val="0D1E32"/>
          <w:sz w:val="23"/>
        </w:rPr>
        <w:t>The platform as it runs today</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fill="0D1E32"/>
          </w:tcPr>
          <w:p>
            <w:pPr>
              <w:spacing w:after="40"/>
            </w:pPr>
            <w:r>
              <w:rPr>
                <w:rFonts w:ascii="Montserrat" w:hAnsi="Montserrat"/>
                <w:b/>
                <w:color w:val="FFFFFF"/>
                <w:sz w:val="18"/>
              </w:rPr>
              <w:t>What</w:t>
            </w:r>
          </w:p>
        </w:tc>
        <w:tc>
          <w:tcPr>
            <w:tcW w:type="dxa" w:w="3173"/>
            <w:shd w:val="clear" w:fill="0D1E32"/>
          </w:tcPr>
          <w:p>
            <w:pPr>
              <w:spacing w:after="40"/>
            </w:pPr>
            <w:r>
              <w:rPr>
                <w:rFonts w:ascii="Montserrat" w:hAnsi="Montserrat"/>
                <w:b/>
                <w:color w:val="FFFFFF"/>
                <w:sz w:val="18"/>
              </w:rPr>
              <w:t>Size</w:t>
            </w:r>
          </w:p>
        </w:tc>
        <w:tc>
          <w:tcPr>
            <w:tcW w:type="dxa" w:w="3173"/>
            <w:shd w:val="clear" w:fill="0D1E32"/>
          </w:tcPr>
          <w:p>
            <w:pPr>
              <w:spacing w:after="40"/>
            </w:pPr>
            <w:r>
              <w:rPr>
                <w:rFonts w:ascii="Montserrat" w:hAnsi="Montserrat"/>
                <w:b/>
                <w:color w:val="FFFFFF"/>
                <w:sz w:val="18"/>
              </w:rPr>
              <w:t>Measured</w:t>
            </w:r>
          </w:p>
        </w:tc>
      </w:tr>
      <w:tr>
        <w:tc>
          <w:tcPr>
            <w:tcW w:type="dxa" w:w="3173"/>
          </w:tcPr>
          <w:p>
            <w:pPr>
              <w:spacing w:after="40"/>
              <w:jc w:val="left"/>
            </w:pPr>
            <w:r>
              <w:rPr>
                <w:rFonts w:ascii="Inter" w:hAnsi="Inter"/>
                <w:b w:val="0"/>
                <w:color w:val="1A1A1A"/>
                <w:sz w:val="18"/>
              </w:rPr>
              <w:t>Whole stack running</w:t>
            </w:r>
          </w:p>
        </w:tc>
        <w:tc>
          <w:tcPr>
            <w:tcW w:type="dxa" w:w="3173"/>
          </w:tcPr>
          <w:p>
            <w:pPr>
              <w:spacing w:after="40"/>
              <w:jc w:val="left"/>
            </w:pPr>
            <w:r>
              <w:rPr>
                <w:rFonts w:ascii="Inter" w:hAnsi="Inter"/>
                <w:b w:val="0"/>
                <w:color w:val="1A1A1A"/>
                <w:sz w:val="18"/>
              </w:rPr>
              <w:t>about 290 MB RAM</w:t>
            </w:r>
          </w:p>
        </w:tc>
        <w:tc>
          <w:tcPr>
            <w:tcW w:type="dxa" w:w="3173"/>
          </w:tcPr>
          <w:p>
            <w:pPr>
              <w:spacing w:after="40"/>
              <w:jc w:val="left"/>
            </w:pPr>
            <w:r>
              <w:rPr>
                <w:rFonts w:ascii="Inter" w:hAnsi="Inter"/>
                <w:b w:val="0"/>
                <w:color w:val="1A1A1A"/>
                <w:sz w:val="18"/>
              </w:rPr>
              <w:t>21 September 2026</w:t>
            </w:r>
          </w:p>
        </w:tc>
      </w:tr>
      <w:tr>
        <w:tc>
          <w:tcPr>
            <w:tcW w:type="dxa" w:w="3173"/>
            <w:shd w:val="clear" w:fill="F4F1EA"/>
          </w:tcPr>
          <w:p>
            <w:pPr>
              <w:spacing w:after="40"/>
              <w:jc w:val="left"/>
            </w:pPr>
            <w:r>
              <w:rPr>
                <w:rFonts w:ascii="Inter" w:hAnsi="Inter"/>
                <w:b w:val="0"/>
                <w:color w:val="1A1A1A"/>
                <w:sz w:val="18"/>
              </w:rPr>
              <w:t>Application images, one deploy</w:t>
            </w:r>
          </w:p>
        </w:tc>
        <w:tc>
          <w:tcPr>
            <w:tcW w:type="dxa" w:w="3173"/>
            <w:shd w:val="clear" w:fill="F4F1EA"/>
          </w:tcPr>
          <w:p>
            <w:pPr>
              <w:spacing w:after="40"/>
              <w:jc w:val="left"/>
            </w:pPr>
            <w:r>
              <w:rPr>
                <w:rFonts w:ascii="Inter" w:hAnsi="Inter"/>
                <w:b w:val="0"/>
                <w:color w:val="1A1A1A"/>
                <w:sz w:val="18"/>
              </w:rPr>
              <w:t>2.33 GB (972 MB app, 1.36 GB tools)</w:t>
            </w:r>
          </w:p>
        </w:tc>
        <w:tc>
          <w:tcPr>
            <w:tcW w:type="dxa" w:w="3173"/>
            <w:shd w:val="clear" w:fill="F4F1EA"/>
          </w:tcPr>
          <w:p>
            <w:pPr>
              <w:spacing w:after="40"/>
              <w:jc w:val="left"/>
            </w:pPr>
            <w:r>
              <w:rPr>
                <w:rFonts w:ascii="Inter" w:hAnsi="Inter"/>
                <w:b w:val="0"/>
                <w:color w:val="1A1A1A"/>
                <w:sz w:val="18"/>
              </w:rPr>
              <w:t>21 September 2026</w:t>
            </w:r>
          </w:p>
        </w:tc>
      </w:tr>
      <w:tr>
        <w:tc>
          <w:tcPr>
            <w:tcW w:type="dxa" w:w="3173"/>
          </w:tcPr>
          <w:p>
            <w:pPr>
              <w:spacing w:after="40"/>
              <w:jc w:val="left"/>
            </w:pPr>
            <w:r>
              <w:rPr>
                <w:rFonts w:ascii="Inter" w:hAnsi="Inter"/>
                <w:b w:val="0"/>
                <w:color w:val="1A1A1A"/>
                <w:sz w:val="18"/>
              </w:rPr>
              <w:t>Images retained on disk (two versions kept)</w:t>
            </w:r>
          </w:p>
        </w:tc>
        <w:tc>
          <w:tcPr>
            <w:tcW w:type="dxa" w:w="3173"/>
          </w:tcPr>
          <w:p>
            <w:pPr>
              <w:spacing w:after="40"/>
              <w:jc w:val="left"/>
            </w:pPr>
            <w:r>
              <w:rPr>
                <w:rFonts w:ascii="Inter" w:hAnsi="Inter"/>
                <w:b w:val="0"/>
                <w:color w:val="1A1A1A"/>
                <w:sz w:val="18"/>
              </w:rPr>
              <w:t>4.66 GB</w:t>
            </w:r>
          </w:p>
        </w:tc>
        <w:tc>
          <w:tcPr>
            <w:tcW w:type="dxa" w:w="3173"/>
          </w:tcPr>
          <w:p>
            <w:pPr>
              <w:spacing w:after="40"/>
              <w:jc w:val="left"/>
            </w:pPr>
            <w:r>
              <w:rPr>
                <w:rFonts w:ascii="Inter" w:hAnsi="Inter"/>
                <w:b w:val="0"/>
                <w:color w:val="1A1A1A"/>
                <w:sz w:val="18"/>
              </w:rPr>
              <w:t>21 September 2026</w:t>
            </w:r>
          </w:p>
        </w:tc>
      </w:tr>
      <w:tr>
        <w:tc>
          <w:tcPr>
            <w:tcW w:type="dxa" w:w="3173"/>
            <w:shd w:val="clear" w:fill="F4F1EA"/>
          </w:tcPr>
          <w:p>
            <w:pPr>
              <w:spacing w:after="40"/>
              <w:jc w:val="left"/>
            </w:pPr>
            <w:r>
              <w:rPr>
                <w:rFonts w:ascii="Inter" w:hAnsi="Inter"/>
                <w:b w:val="0"/>
                <w:color w:val="1A1A1A"/>
                <w:sz w:val="18"/>
              </w:rPr>
              <w:t>Database, live, holding one qualification</w:t>
            </w:r>
          </w:p>
        </w:tc>
        <w:tc>
          <w:tcPr>
            <w:tcW w:type="dxa" w:w="3173"/>
            <w:shd w:val="clear" w:fill="F4F1EA"/>
          </w:tcPr>
          <w:p>
            <w:pPr>
              <w:spacing w:after="40"/>
              <w:jc w:val="left"/>
            </w:pPr>
            <w:r>
              <w:rPr>
                <w:rFonts w:ascii="Inter" w:hAnsi="Inter"/>
                <w:b w:val="0"/>
                <w:color w:val="1A1A1A"/>
                <w:sz w:val="18"/>
              </w:rPr>
              <w:t>78 MB</w:t>
            </w:r>
          </w:p>
        </w:tc>
        <w:tc>
          <w:tcPr>
            <w:tcW w:type="dxa" w:w="3173"/>
            <w:shd w:val="clear" w:fill="F4F1EA"/>
          </w:tcPr>
          <w:p>
            <w:pPr>
              <w:spacing w:after="40"/>
              <w:jc w:val="left"/>
            </w:pPr>
            <w:r>
              <w:rPr>
                <w:rFonts w:ascii="Inter" w:hAnsi="Inter"/>
                <w:b w:val="0"/>
                <w:color w:val="1A1A1A"/>
                <w:sz w:val="18"/>
              </w:rPr>
              <w:t>20 September 2026</w:t>
            </w:r>
          </w:p>
        </w:tc>
      </w:tr>
      <w:tr>
        <w:tc>
          <w:tcPr>
            <w:tcW w:type="dxa" w:w="3173"/>
          </w:tcPr>
          <w:p>
            <w:pPr>
              <w:spacing w:after="40"/>
              <w:jc w:val="left"/>
            </w:pPr>
            <w:r>
              <w:rPr>
                <w:rFonts w:ascii="Inter" w:hAnsi="Inter"/>
                <w:b w:val="0"/>
                <w:color w:val="1A1A1A"/>
                <w:sz w:val="18"/>
              </w:rPr>
              <w:t>One qualification's material, live</w:t>
            </w:r>
          </w:p>
        </w:tc>
        <w:tc>
          <w:tcPr>
            <w:tcW w:type="dxa" w:w="3173"/>
          </w:tcPr>
          <w:p>
            <w:pPr>
              <w:spacing w:after="40"/>
              <w:jc w:val="left"/>
            </w:pPr>
            <w:r>
              <w:rPr>
                <w:rFonts w:ascii="Inter" w:hAnsi="Inter"/>
                <w:b w:val="0"/>
                <w:color w:val="1A1A1A"/>
                <w:sz w:val="18"/>
              </w:rPr>
              <w:t>about 1.0 GB</w:t>
            </w:r>
          </w:p>
        </w:tc>
        <w:tc>
          <w:tcPr>
            <w:tcW w:type="dxa" w:w="3173"/>
          </w:tcPr>
          <w:p>
            <w:pPr>
              <w:spacing w:after="40"/>
              <w:jc w:val="left"/>
            </w:pPr>
            <w:r>
              <w:rPr>
                <w:rFonts w:ascii="Inter" w:hAnsi="Inter"/>
                <w:b w:val="0"/>
                <w:color w:val="1A1A1A"/>
                <w:sz w:val="18"/>
              </w:rPr>
              <w:t>121151, 19 to 20 September 2026</w:t>
            </w:r>
          </w:p>
        </w:tc>
      </w:tr>
      <w:tr>
        <w:tc>
          <w:tcPr>
            <w:tcW w:type="dxa" w:w="3173"/>
            <w:shd w:val="clear" w:fill="F4F1EA"/>
          </w:tcPr>
          <w:p>
            <w:pPr>
              <w:spacing w:after="40"/>
              <w:jc w:val="left"/>
            </w:pPr>
            <w:r>
              <w:rPr>
                <w:rFonts w:ascii="Inter" w:hAnsi="Inter"/>
                <w:b w:val="0"/>
                <w:color w:val="1A1A1A"/>
                <w:sz w:val="18"/>
              </w:rPr>
              <w:t>One evidence archive, encrypted</w:t>
            </w:r>
          </w:p>
        </w:tc>
        <w:tc>
          <w:tcPr>
            <w:tcW w:type="dxa" w:w="3173"/>
            <w:shd w:val="clear" w:fill="F4F1EA"/>
          </w:tcPr>
          <w:p>
            <w:pPr>
              <w:spacing w:after="40"/>
              <w:jc w:val="left"/>
            </w:pPr>
            <w:r>
              <w:rPr>
                <w:rFonts w:ascii="Inter" w:hAnsi="Inter"/>
                <w:b w:val="0"/>
                <w:color w:val="1A1A1A"/>
                <w:sz w:val="18"/>
              </w:rPr>
              <w:t>577 MB to 991 MB</w:t>
            </w:r>
          </w:p>
        </w:tc>
        <w:tc>
          <w:tcPr>
            <w:tcW w:type="dxa" w:w="3173"/>
            <w:shd w:val="clear" w:fill="F4F1EA"/>
          </w:tcPr>
          <w:p>
            <w:pPr>
              <w:spacing w:after="40"/>
              <w:jc w:val="left"/>
            </w:pPr>
            <w:r>
              <w:rPr>
                <w:rFonts w:ascii="Inter" w:hAnsi="Inter"/>
                <w:b w:val="0"/>
                <w:color w:val="1A1A1A"/>
                <w:sz w:val="18"/>
              </w:rPr>
              <w:t>tracks the live store</w:t>
            </w:r>
          </w:p>
        </w:tc>
      </w:tr>
      <w:tr>
        <w:tc>
          <w:tcPr>
            <w:tcW w:type="dxa" w:w="3173"/>
          </w:tcPr>
          <w:p>
            <w:pPr>
              <w:spacing w:after="40"/>
              <w:jc w:val="left"/>
            </w:pPr>
            <w:r>
              <w:rPr>
                <w:rFonts w:ascii="Inter" w:hAnsi="Inter"/>
                <w:b w:val="0"/>
                <w:color w:val="1A1A1A"/>
                <w:sz w:val="18"/>
              </w:rPr>
              <w:t>One database dump, encrypted</w:t>
            </w:r>
          </w:p>
        </w:tc>
        <w:tc>
          <w:tcPr>
            <w:tcW w:type="dxa" w:w="3173"/>
          </w:tcPr>
          <w:p>
            <w:pPr>
              <w:spacing w:after="40"/>
              <w:jc w:val="left"/>
            </w:pPr>
            <w:r>
              <w:rPr>
                <w:rFonts w:ascii="Inter" w:hAnsi="Inter"/>
                <w:b w:val="0"/>
                <w:color w:val="1A1A1A"/>
                <w:sz w:val="18"/>
              </w:rPr>
              <w:t>under 1.5 MB</w:t>
            </w:r>
          </w:p>
        </w:tc>
        <w:tc>
          <w:tcPr>
            <w:tcW w:type="dxa" w:w="3173"/>
          </w:tcPr>
          <w:p>
            <w:pPr>
              <w:spacing w:after="40"/>
              <w:jc w:val="left"/>
            </w:pPr>
            <w:r>
              <w:rPr>
                <w:rFonts w:ascii="Inter" w:hAnsi="Inter"/>
                <w:b w:val="0"/>
                <w:color w:val="1A1A1A"/>
                <w:sz w:val="18"/>
              </w:rPr>
              <w:t>58 dumps totalled 0.04 GB</w:t>
            </w:r>
          </w:p>
        </w:tc>
      </w:tr>
      <w:tr>
        <w:tc>
          <w:tcPr>
            <w:tcW w:type="dxa" w:w="3173"/>
            <w:shd w:val="clear" w:fill="F4F1EA"/>
          </w:tcPr>
          <w:p>
            <w:pPr>
              <w:spacing w:after="40"/>
              <w:jc w:val="left"/>
            </w:pPr>
            <w:r>
              <w:rPr>
                <w:rFonts w:ascii="Inter" w:hAnsi="Inter"/>
                <w:b w:val="0"/>
                <w:color w:val="1A1A1A"/>
                <w:sz w:val="18"/>
              </w:rPr>
              <w:t>Disk fitted</w:t>
            </w:r>
          </w:p>
        </w:tc>
        <w:tc>
          <w:tcPr>
            <w:tcW w:type="dxa" w:w="3173"/>
            <w:shd w:val="clear" w:fill="F4F1EA"/>
          </w:tcPr>
          <w:p>
            <w:pPr>
              <w:spacing w:after="40"/>
              <w:jc w:val="left"/>
            </w:pPr>
            <w:r>
              <w:rPr>
                <w:rFonts w:ascii="Inter" w:hAnsi="Inter"/>
                <w:b w:val="0"/>
                <w:color w:val="1A1A1A"/>
                <w:sz w:val="18"/>
              </w:rPr>
              <w:t>19 GB</w:t>
            </w:r>
          </w:p>
        </w:tc>
        <w:tc>
          <w:tcPr>
            <w:tcW w:type="dxa" w:w="3173"/>
            <w:shd w:val="clear" w:fill="F4F1EA"/>
          </w:tcPr>
          <w:p>
            <w:pPr>
              <w:spacing w:after="40"/>
              <w:jc w:val="left"/>
            </w:pPr>
            <w:r>
              <w:rPr>
                <w:rFonts w:ascii="Inter" w:hAnsi="Inter"/>
                <w:b w:val="0"/>
                <w:color w:val="1A1A1A"/>
                <w:sz w:val="18"/>
              </w:rPr>
              <w:t>InspireTec virtual server</w:t>
            </w:r>
          </w:p>
        </w:tc>
      </w:tr>
      <w:tr>
        <w:tc>
          <w:tcPr>
            <w:tcW w:type="dxa" w:w="3173"/>
          </w:tcPr>
          <w:p>
            <w:pPr>
              <w:spacing w:after="40"/>
              <w:jc w:val="left"/>
            </w:pPr>
            <w:r>
              <w:rPr>
                <w:rFonts w:ascii="Inter" w:hAnsi="Inter"/>
                <w:b w:val="0"/>
                <w:color w:val="1A1A1A"/>
                <w:sz w:val="18"/>
              </w:rPr>
              <w:t>Free after the September corrections</w:t>
            </w:r>
          </w:p>
        </w:tc>
        <w:tc>
          <w:tcPr>
            <w:tcW w:type="dxa" w:w="3173"/>
          </w:tcPr>
          <w:p>
            <w:pPr>
              <w:spacing w:after="40"/>
              <w:jc w:val="left"/>
            </w:pPr>
            <w:r>
              <w:rPr>
                <w:rFonts w:ascii="Inter" w:hAnsi="Inter"/>
                <w:b w:val="0"/>
                <w:color w:val="1A1A1A"/>
                <w:sz w:val="18"/>
              </w:rPr>
              <w:t>6.8 GB</w:t>
            </w:r>
          </w:p>
        </w:tc>
        <w:tc>
          <w:tcPr>
            <w:tcW w:type="dxa" w:w="3173"/>
          </w:tcPr>
          <w:p>
            <w:pPr>
              <w:spacing w:after="40"/>
              <w:jc w:val="left"/>
            </w:pPr>
            <w:r>
              <w:rPr>
                <w:rFonts w:ascii="Inter" w:hAnsi="Inter"/>
                <w:b w:val="0"/>
                <w:color w:val="1A1A1A"/>
                <w:sz w:val="18"/>
              </w:rPr>
              <w:t>21 September 2026</w:t>
            </w:r>
          </w:p>
        </w:tc>
      </w:tr>
    </w:tbl>
    <w:p>
      <w:pPr>
        <w:spacing w:after="80"/>
      </w:pPr>
    </w:p>
    <w:p>
      <w:pPr>
        <w:spacing w:before="200" w:after="60"/>
      </w:pPr>
      <w:r>
        <w:rPr>
          <w:rFonts w:ascii="Montserrat" w:hAnsi="Montserrat"/>
          <w:b/>
          <w:color w:val="0D1E32"/>
          <w:sz w:val="23"/>
        </w:rPr>
        <w:t>The qualification itself</w:t>
      </w:r>
    </w:p>
    <w:p>
      <w:pPr>
        <w:spacing w:after="140"/>
      </w:pPr>
      <w:r>
        <w:rPr>
          <w:rFonts w:ascii="Inter" w:hAnsi="Inter"/>
          <w:b w:val="0"/>
          <w:color w:val="1A1A1A"/>
          <w:sz w:val="20"/>
        </w:rPr>
        <w:t>Measured by parsing the published QCTO curriculum for 121151 directly, not from the platform's copy of it:</w:t>
      </w:r>
    </w:p>
    <w:tbl>
      <w:tblPr>
        <w:tblStyle w:val="TableGrid"/>
        <w:tblW w:type="auto" w:w="0"/>
        <w:jc w:val="center"/>
        <w:tblLook w:firstColumn="1" w:firstRow="1" w:lastColumn="0" w:lastRow="0" w:noHBand="0" w:noVBand="1" w:val="04A0"/>
      </w:tblPr>
      <w:tblGrid>
        <w:gridCol w:w="4759"/>
        <w:gridCol w:w="4759"/>
      </w:tblGrid>
      <w:tr>
        <w:tc>
          <w:tcPr>
            <w:tcW w:type="dxa" w:w="4759"/>
            <w:shd w:val="clear" w:fill="0D1E32"/>
          </w:tcPr>
          <w:p>
            <w:pPr>
              <w:spacing w:after="40"/>
            </w:pPr>
          </w:p>
        </w:tc>
        <w:tc>
          <w:tcPr>
            <w:tcW w:type="dxa" w:w="4759"/>
            <w:shd w:val="clear" w:fill="0D1E32"/>
          </w:tcPr>
          <w:p>
            <w:pPr>
              <w:spacing w:after="40"/>
            </w:pPr>
            <w:r>
              <w:rPr>
                <w:rFonts w:ascii="Montserrat" w:hAnsi="Montserrat"/>
                <w:b/>
                <w:color w:val="FFFFFF"/>
                <w:sz w:val="18"/>
              </w:rPr>
              <w:t>Count</w:t>
            </w:r>
          </w:p>
        </w:tc>
      </w:tr>
      <w:tr>
        <w:tc>
          <w:tcPr>
            <w:tcW w:type="dxa" w:w="4759"/>
          </w:tcPr>
          <w:p>
            <w:pPr>
              <w:spacing w:after="40"/>
              <w:jc w:val="left"/>
            </w:pPr>
            <w:r>
              <w:rPr>
                <w:rFonts w:ascii="Inter" w:hAnsi="Inter"/>
                <w:b w:val="0"/>
                <w:color w:val="1A1A1A"/>
                <w:sz w:val="18"/>
              </w:rPr>
              <w:t>Modules</w:t>
            </w:r>
          </w:p>
        </w:tc>
        <w:tc>
          <w:tcPr>
            <w:tcW w:type="dxa" w:w="4759"/>
          </w:tcPr>
          <w:p>
            <w:pPr>
              <w:spacing w:after="40"/>
              <w:jc w:val="left"/>
            </w:pPr>
            <w:r>
              <w:rPr>
                <w:rFonts w:ascii="Inter" w:hAnsi="Inter"/>
                <w:b w:val="0"/>
                <w:color w:val="1A1A1A"/>
                <w:sz w:val="18"/>
              </w:rPr>
              <w:t>15 (5 knowledge, 5 practical, 5 workplace)</w:t>
            </w:r>
          </w:p>
        </w:tc>
      </w:tr>
      <w:tr>
        <w:tc>
          <w:tcPr>
            <w:tcW w:type="dxa" w:w="4759"/>
            <w:shd w:val="clear" w:fill="F4F1EA"/>
          </w:tcPr>
          <w:p>
            <w:pPr>
              <w:spacing w:after="40"/>
              <w:jc w:val="left"/>
            </w:pPr>
            <w:r>
              <w:rPr>
                <w:rFonts w:ascii="Inter" w:hAnsi="Inter"/>
                <w:b w:val="0"/>
                <w:color w:val="1A1A1A"/>
                <w:sz w:val="18"/>
              </w:rPr>
              <w:t>Topics</w:t>
            </w:r>
          </w:p>
        </w:tc>
        <w:tc>
          <w:tcPr>
            <w:tcW w:type="dxa" w:w="4759"/>
            <w:shd w:val="clear" w:fill="F4F1EA"/>
          </w:tcPr>
          <w:p>
            <w:pPr>
              <w:spacing w:after="40"/>
              <w:jc w:val="left"/>
            </w:pPr>
            <w:r>
              <w:rPr>
                <w:rFonts w:ascii="Inter" w:hAnsi="Inter"/>
                <w:b w:val="0"/>
                <w:color w:val="1A1A1A"/>
                <w:sz w:val="18"/>
              </w:rPr>
              <w:t>51</w:t>
            </w:r>
          </w:p>
        </w:tc>
      </w:tr>
      <w:tr>
        <w:tc>
          <w:tcPr>
            <w:tcW w:type="dxa" w:w="4759"/>
          </w:tcPr>
          <w:p>
            <w:pPr>
              <w:spacing w:after="40"/>
              <w:jc w:val="left"/>
            </w:pPr>
            <w:r>
              <w:rPr>
                <w:rFonts w:ascii="Inter" w:hAnsi="Inter"/>
                <w:b w:val="0"/>
                <w:color w:val="1A1A1A"/>
                <w:sz w:val="18"/>
              </w:rPr>
              <w:t>Things taught (elements)</w:t>
            </w:r>
          </w:p>
        </w:tc>
        <w:tc>
          <w:tcPr>
            <w:tcW w:type="dxa" w:w="4759"/>
          </w:tcPr>
          <w:p>
            <w:pPr>
              <w:spacing w:after="40"/>
              <w:jc w:val="left"/>
            </w:pPr>
            <w:r>
              <w:rPr>
                <w:rFonts w:ascii="Inter" w:hAnsi="Inter"/>
                <w:b w:val="0"/>
                <w:color w:val="1A1A1A"/>
                <w:sz w:val="18"/>
              </w:rPr>
              <w:t>503</w:t>
            </w:r>
          </w:p>
        </w:tc>
      </w:tr>
      <w:tr>
        <w:tc>
          <w:tcPr>
            <w:tcW w:type="dxa" w:w="4759"/>
            <w:shd w:val="clear" w:fill="F4F1EA"/>
          </w:tcPr>
          <w:p>
            <w:pPr>
              <w:spacing w:after="40"/>
              <w:jc w:val="left"/>
            </w:pPr>
            <w:r>
              <w:rPr>
                <w:rFonts w:ascii="Inter" w:hAnsi="Inter"/>
                <w:b w:val="0"/>
                <w:color w:val="1A1A1A"/>
                <w:sz w:val="18"/>
              </w:rPr>
              <w:t>Internal assessment criteria</w:t>
            </w:r>
          </w:p>
        </w:tc>
        <w:tc>
          <w:tcPr>
            <w:tcW w:type="dxa" w:w="4759"/>
            <w:shd w:val="clear" w:fill="F4F1EA"/>
          </w:tcPr>
          <w:p>
            <w:pPr>
              <w:spacing w:after="40"/>
              <w:jc w:val="left"/>
            </w:pPr>
            <w:r>
              <w:rPr>
                <w:rFonts w:ascii="Inter" w:hAnsi="Inter"/>
                <w:b w:val="0"/>
                <w:color w:val="1A1A1A"/>
                <w:sz w:val="18"/>
              </w:rPr>
              <w:t>154</w:t>
            </w:r>
          </w:p>
        </w:tc>
      </w:tr>
      <w:tr>
        <w:tc>
          <w:tcPr>
            <w:tcW w:type="dxa" w:w="4759"/>
          </w:tcPr>
          <w:p>
            <w:pPr>
              <w:spacing w:after="40"/>
              <w:jc w:val="left"/>
            </w:pPr>
            <w:r>
              <w:rPr>
                <w:rFonts w:ascii="Inter" w:hAnsi="Inter"/>
                <w:b w:val="0"/>
                <w:color w:val="1A1A1A"/>
                <w:sz w:val="18"/>
              </w:rPr>
              <w:t>Credits</w:t>
            </w:r>
          </w:p>
        </w:tc>
        <w:tc>
          <w:tcPr>
            <w:tcW w:type="dxa" w:w="4759"/>
          </w:tcPr>
          <w:p>
            <w:pPr>
              <w:spacing w:after="40"/>
              <w:jc w:val="left"/>
            </w:pPr>
            <w:r>
              <w:rPr>
                <w:rFonts w:ascii="Inter" w:hAnsi="Inter"/>
                <w:b w:val="0"/>
                <w:color w:val="1A1A1A"/>
                <w:sz w:val="18"/>
              </w:rPr>
              <w:t>134 (50 knowledge, 48 practical, 36 workplace)</w:t>
            </w:r>
          </w:p>
        </w:tc>
      </w:tr>
    </w:tbl>
    <w:p>
      <w:pPr>
        <w:spacing w:after="80"/>
      </w:pPr>
    </w:p>
    <w:p>
      <w:pPr>
        <w:spacing w:after="140"/>
      </w:pPr>
      <w:r>
        <w:rPr>
          <w:rFonts w:ascii="Inter" w:hAnsi="Inter"/>
          <w:b w:val="0"/>
          <w:color w:val="1A1A1A"/>
          <w:sz w:val="20"/>
        </w:rPr>
        <w:t xml:space="preserve">Worth being clear about what this costs: </w:t>
      </w:r>
      <w:r>
        <w:rPr>
          <w:rFonts w:ascii="Inter" w:hAnsi="Inter"/>
          <w:b/>
          <w:color w:val="1A1A1A"/>
          <w:sz w:val="20"/>
        </w:rPr>
        <w:t>almost nothing</w:t>
      </w:r>
      <w:r>
        <w:rPr>
          <w:rFonts w:ascii="Inter" w:hAnsi="Inter"/>
          <w:b w:val="0"/>
          <w:color w:val="1A1A1A"/>
          <w:sz w:val="20"/>
        </w:rPr>
        <w:t>. The whole structure above is text in a database, a few hundred kilobytes. The 1.0 GB is the guides, workbooks and assessment documents that hang off it. Curriculum complexity drives staff cost, not storage cost.</w:t>
      </w:r>
    </w:p>
    <w:p>
      <w:pPr>
        <w:spacing w:after="40"/>
        <w:pBdr>
          <w:bottom w:val="single" w:sz="4" w:space="8" w:color="B9975B"/>
        </w:pBdr>
      </w:pPr>
    </w:p>
    <w:p>
      <w:pPr>
        <w:spacing w:before="280" w:after="60"/>
        <w:pBdr>
          <w:bottom w:val="single" w:sz="4" w:space="8" w:color="B9975B"/>
        </w:pBdr>
      </w:pPr>
      <w:r>
        <w:rPr>
          <w:rFonts w:ascii="Montserrat" w:hAnsi="Montserrat"/>
          <w:b/>
          <w:color w:val="0D1E32"/>
          <w:sz w:val="28"/>
        </w:rPr>
        <w:t>4. The one relationship that makes the chain traceable</w:t>
      </w:r>
    </w:p>
    <w:p>
      <w:pPr>
        <w:spacing w:after="140"/>
      </w:pPr>
      <w:r>
        <w:rPr>
          <w:rFonts w:ascii="Inter" w:hAnsi="Inter"/>
          <w:b w:val="0"/>
          <w:color w:val="1A1A1A"/>
          <w:sz w:val="20"/>
        </w:rPr>
        <w:t>Backups are taken of the whole system rather than per tenant, and the current policy keeps three evidence archives plus thirty days of database dumps. So every gigabyte of live material occupies itself plus its copies:</w:t>
      </w:r>
    </w:p>
    <w:p>
      <w:pPr>
        <w:spacing w:before="120" w:after="180"/>
        <w:ind w:left="340"/>
        <w:pBdr>
          <w:left w:val="single" w:sz="18" w:space="8" w:color="B9975B"/>
        </w:pBdr>
      </w:pPr>
      <w:r>
        <w:rPr>
          <w:rFonts w:ascii="Inter" w:hAnsi="Inter"/>
          <w:b/>
          <w:color w:val="0D1E32"/>
          <w:sz w:val="22"/>
        </w:rPr>
        <w:t>Disk used = operating system + 4.66 GB of images + (live store x 2.8 to 4.0)</w:t>
      </w:r>
    </w:p>
    <w:p>
      <w:pPr>
        <w:spacing w:after="140"/>
      </w:pPr>
      <w:r>
        <w:rPr>
          <w:rFonts w:ascii="Inter" w:hAnsi="Inter"/>
          <w:b w:val="0"/>
          <w:color w:val="1A1A1A"/>
          <w:sz w:val="20"/>
        </w:rPr>
        <w:t>The range is the compression: an encrypted archive of the 1.0 GB live store measured between 577 MB and 991 MB, so a copy costs between 0.6 and 1.0 times what it copies.</w:t>
      </w:r>
    </w:p>
    <w:p>
      <w:pPr>
        <w:spacing w:after="140"/>
      </w:pPr>
      <w:r>
        <w:rPr>
          <w:rFonts w:ascii="Inter" w:hAnsi="Inter"/>
          <w:b w:val="0"/>
          <w:color w:val="1A1A1A"/>
          <w:sz w:val="20"/>
        </w:rPr>
        <w:t>This is the sentence to carry into any price:</w:t>
      </w:r>
    </w:p>
    <w:p>
      <w:pPr>
        <w:spacing w:before="120" w:after="180"/>
        <w:ind w:left="340"/>
        <w:pBdr>
          <w:left w:val="single" w:sz="18" w:space="8" w:color="B9975B"/>
        </w:pBdr>
      </w:pPr>
      <w:r>
        <w:rPr>
          <w:rFonts w:ascii="Inter" w:hAnsi="Inter"/>
          <w:b/>
          <w:color w:val="0D1E32"/>
          <w:sz w:val="22"/>
        </w:rPr>
        <w:t>One gigabyte of learner material costs between 2.8 and 4 gigabytes of disk.</w:t>
      </w:r>
      <w:r>
        <w:rPr>
          <w:rFonts w:ascii="Inter" w:hAnsi="Inter"/>
          <w:b w:val="0"/>
          <w:color w:val="0D1E32"/>
          <w:sz w:val="22"/>
        </w:rPr>
        <w:t xml:space="preserve"> It is not one.</w:t>
      </w:r>
    </w:p>
    <w:p>
      <w:pPr>
        <w:spacing w:after="140"/>
      </w:pPr>
      <w:r>
        <w:rPr>
          <w:rFonts w:ascii="Inter" w:hAnsi="Inter"/>
          <w:b w:val="0"/>
          <w:color w:val="1A1A1A"/>
          <w:sz w:val="20"/>
        </w:rPr>
        <w:t>Two levers follow directly, and both are decisions rather than technical constraints:</w:t>
      </w:r>
    </w:p>
    <w:p>
      <w:pPr>
        <w:pStyle w:val="ListBullet"/>
        <w:spacing w:after="60"/>
      </w:pPr>
      <w:r>
        <w:rPr>
          <w:rFonts w:ascii="Inter" w:hAnsi="Inter"/>
          <w:b/>
          <w:color w:val="1A1A1A"/>
          <w:sz w:val="20"/>
        </w:rPr>
        <w:t>Number of archive copies kept.</w:t>
      </w:r>
      <w:r>
        <w:rPr>
          <w:rFonts w:ascii="Inter" w:hAnsi="Inter"/>
          <w:b w:val="0"/>
          <w:color w:val="1A1A1A"/>
          <w:sz w:val="20"/>
        </w:rPr>
        <w:t xml:space="preserve"> Three today. Two would take the multiplier to roughly 2.2 to 3.0. One would take it to 1.6 to 2.0. Each copy removed is recovery history given up.</w:t>
      </w:r>
    </w:p>
    <w:p>
      <w:pPr>
        <w:pStyle w:val="ListBullet"/>
        <w:spacing w:after="60"/>
      </w:pPr>
      <w:r>
        <w:rPr>
          <w:rFonts w:ascii="Inter" w:hAnsi="Inter"/>
          <w:b/>
          <w:color w:val="1A1A1A"/>
          <w:sz w:val="20"/>
        </w:rPr>
        <w:t>Where the archives live.</w:t>
      </w:r>
      <w:r>
        <w:rPr>
          <w:rFonts w:ascii="Inter" w:hAnsi="Inter"/>
          <w:b w:val="0"/>
          <w:color w:val="1A1A1A"/>
          <w:sz w:val="20"/>
        </w:rPr>
        <w:t xml:space="preserve"> Moving them to a separate volume takes them off the application's disk entirely and decouples the two. This is one of the questions already with Linda.</w:t>
      </w:r>
    </w:p>
    <w:p>
      <w:pPr>
        <w:spacing w:after="40"/>
        <w:pBdr>
          <w:bottom w:val="single" w:sz="4" w:space="8" w:color="B9975B"/>
        </w:pBdr>
      </w:pPr>
    </w:p>
    <w:p>
      <w:pPr>
        <w:spacing w:before="280" w:after="60"/>
        <w:pBdr>
          <w:bottom w:val="single" w:sz="4" w:space="8" w:color="B9975B"/>
        </w:pBdr>
      </w:pPr>
      <w:r>
        <w:rPr>
          <w:rFonts w:ascii="Montserrat" w:hAnsi="Montserrat"/>
          <w:b/>
          <w:color w:val="0D1E32"/>
          <w:sz w:val="28"/>
        </w:rPr>
        <w:t>5. The unit cost model</w:t>
      </w:r>
    </w:p>
    <w:p>
      <w:pPr>
        <w:spacing w:after="180"/>
      </w:pPr>
      <w:r>
        <w:rPr>
          <w:rFonts w:ascii="Consolas" w:hAnsi="Consolas"/>
          <w:color w:val="0D1E32"/>
          <w:sz w:val="18"/>
        </w:rPr>
        <w:t>Annual cost  =  Fixed</w:t>
        <w:br/>
      </w:r>
      <w:r>
        <w:rPr>
          <w:rFonts w:ascii="Consolas" w:hAnsi="Consolas"/>
          <w:color w:val="0D1E32"/>
          <w:sz w:val="18"/>
        </w:rPr>
        <w:t xml:space="preserve">              + (qualifications loaded   x  per-qualification storage)</w:t>
        <w:br/>
      </w:r>
      <w:r>
        <w:rPr>
          <w:rFonts w:ascii="Consolas" w:hAnsi="Consolas"/>
          <w:color w:val="0D1E32"/>
          <w:sz w:val="18"/>
        </w:rPr>
        <w:t xml:space="preserve">              + (learners enrolled       x  per-learner storage)</w:t>
        <w:br/>
      </w:r>
      <w:r>
        <w:rPr>
          <w:rFonts w:ascii="Consolas" w:hAnsi="Consolas"/>
          <w:color w:val="0D1E32"/>
          <w:sz w:val="18"/>
        </w:rPr>
        <w:t xml:space="preserve">              + (learners in retention   x  per-learner storage)</w:t>
        <w:br/>
      </w:r>
      <w:r>
        <w:rPr>
          <w:rFonts w:ascii="Consolas" w:hAnsi="Consolas"/>
          <w:color w:val="0D1E32"/>
          <w:sz w:val="18"/>
        </w:rPr>
        <w:t xml:space="preserve">              + (learners enrolled       x  staff hours per learner x rate)</w:t>
      </w:r>
    </w:p>
    <w:p>
      <w:pPr>
        <w:spacing w:after="140"/>
      </w:pPr>
      <w:r>
        <w:rPr>
          <w:rFonts w:ascii="Inter" w:hAnsi="Inter"/>
          <w:b/>
          <w:color w:val="1A1A1A"/>
          <w:sz w:val="20"/>
        </w:rPr>
        <w:t>Storage per qualification: 1.0 GB live, measured.</w:t>
      </w:r>
      <w:r>
        <w:rPr>
          <w:rFonts w:ascii="Inter" w:hAnsi="Inter"/>
          <w:b w:val="0"/>
          <w:color w:val="1A1A1A"/>
          <w:sz w:val="20"/>
        </w:rPr>
        <w:t xml:space="preserve"> At the multiplier above, 2.8 to 4.0 GB of disk each.</w:t>
      </w:r>
    </w:p>
    <w:p>
      <w:pPr>
        <w:spacing w:after="140"/>
      </w:pPr>
      <w:r>
        <w:rPr>
          <w:rFonts w:ascii="Inter" w:hAnsi="Inter"/>
          <w:b/>
          <w:color w:val="1A1A1A"/>
          <w:sz w:val="20"/>
        </w:rPr>
        <w:t>Storage per learner: not yet measurable.</w:t>
      </w:r>
      <w:r>
        <w:rPr>
          <w:rFonts w:ascii="Inter" w:hAnsi="Inter"/>
          <w:b w:val="0"/>
          <w:color w:val="1A1A1A"/>
          <w:sz w:val="20"/>
        </w:rPr>
        <w:t xml:space="preserve"> No cohort has yet run far enough to produce a full Portfolio of Evidence, so ROFT does not have this figure and will not invent one. It is the single most important input to learner billing.</w:t>
      </w:r>
    </w:p>
    <w:p>
      <w:pPr>
        <w:spacing w:after="140"/>
      </w:pPr>
      <w:r>
        <w:rPr>
          <w:rFonts w:ascii="Inter" w:hAnsi="Inter"/>
          <w:b w:val="0"/>
          <w:color w:val="1A1A1A"/>
          <w:sz w:val="20"/>
        </w:rPr>
        <w:t>Two things can be said about it now. The platform caps a single uploaded file at 25 MB and a single folder upload at 250 MB, so a Portfolio has a technical ceiling well above anything likely. It will also be measurable directly, per learner, as soon as the first cohort submits, because evidence is already stored under a key that can simply be measured.</w:t>
      </w:r>
    </w:p>
    <w:p>
      <w:pPr>
        <w:spacing w:after="140"/>
      </w:pPr>
      <w:r>
        <w:rPr>
          <w:rFonts w:ascii="Inter" w:hAnsi="Inter"/>
          <w:b w:val="0"/>
          <w:color w:val="1A1A1A"/>
          <w:sz w:val="20"/>
        </w:rPr>
        <w:t xml:space="preserve">Until then, the sensitivity looks like this. </w:t>
      </w:r>
      <w:r>
        <w:rPr>
          <w:rFonts w:ascii="Inter" w:hAnsi="Inter"/>
          <w:b/>
          <w:color w:val="1A1A1A"/>
          <w:sz w:val="20"/>
        </w:rPr>
        <w:t>These are illustrations of the arithmetic, not estimates of the answer:</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fill="0D1E32"/>
          </w:tcPr>
          <w:p>
            <w:pPr>
              <w:spacing w:after="40"/>
            </w:pPr>
            <w:r>
              <w:rPr>
                <w:rFonts w:ascii="Montserrat" w:hAnsi="Montserrat"/>
                <w:b/>
                <w:color w:val="FFFFFF"/>
                <w:sz w:val="18"/>
              </w:rPr>
              <w:t>Evidence per learner</w:t>
            </w:r>
          </w:p>
        </w:tc>
        <w:tc>
          <w:tcPr>
            <w:tcW w:type="dxa" w:w="2379"/>
            <w:shd w:val="clear" w:fill="0D1E32"/>
          </w:tcPr>
          <w:p>
            <w:pPr>
              <w:spacing w:after="40"/>
            </w:pPr>
            <w:r>
              <w:rPr>
                <w:rFonts w:ascii="Montserrat" w:hAnsi="Montserrat"/>
                <w:b/>
                <w:color w:val="FFFFFF"/>
                <w:sz w:val="18"/>
              </w:rPr>
              <w:t>50 learners</w:t>
            </w:r>
          </w:p>
        </w:tc>
        <w:tc>
          <w:tcPr>
            <w:tcW w:type="dxa" w:w="2379"/>
            <w:shd w:val="clear" w:fill="0D1E32"/>
          </w:tcPr>
          <w:p>
            <w:pPr>
              <w:spacing w:after="40"/>
            </w:pPr>
            <w:r>
              <w:rPr>
                <w:rFonts w:ascii="Montserrat" w:hAnsi="Montserrat"/>
                <w:b/>
                <w:color w:val="FFFFFF"/>
                <w:sz w:val="18"/>
              </w:rPr>
              <w:t>200 learners</w:t>
            </w:r>
          </w:p>
        </w:tc>
        <w:tc>
          <w:tcPr>
            <w:tcW w:type="dxa" w:w="2379"/>
            <w:shd w:val="clear" w:fill="0D1E32"/>
          </w:tcPr>
          <w:p>
            <w:pPr>
              <w:spacing w:after="40"/>
            </w:pPr>
            <w:r>
              <w:rPr>
                <w:rFonts w:ascii="Montserrat" w:hAnsi="Montserrat"/>
                <w:b/>
                <w:color w:val="FFFFFF"/>
                <w:sz w:val="18"/>
              </w:rPr>
              <w:t>500 learners</w:t>
            </w:r>
          </w:p>
        </w:tc>
      </w:tr>
      <w:tr>
        <w:tc>
          <w:tcPr>
            <w:tcW w:type="dxa" w:w="2379"/>
          </w:tcPr>
          <w:p>
            <w:pPr>
              <w:spacing w:after="40"/>
              <w:jc w:val="left"/>
            </w:pPr>
            <w:r>
              <w:rPr>
                <w:rFonts w:ascii="Inter" w:hAnsi="Inter"/>
                <w:b w:val="0"/>
                <w:color w:val="1A1A1A"/>
                <w:sz w:val="18"/>
              </w:rPr>
              <w:t>20 MB</w:t>
            </w:r>
          </w:p>
        </w:tc>
        <w:tc>
          <w:tcPr>
            <w:tcW w:type="dxa" w:w="2379"/>
          </w:tcPr>
          <w:p>
            <w:pPr>
              <w:spacing w:after="40"/>
              <w:jc w:val="left"/>
            </w:pPr>
            <w:r>
              <w:rPr>
                <w:rFonts w:ascii="Inter" w:hAnsi="Inter"/>
                <w:b w:val="0"/>
                <w:color w:val="1A1A1A"/>
                <w:sz w:val="18"/>
              </w:rPr>
              <w:t>1 GB live, 2.8 to 4 GB disk</w:t>
            </w:r>
          </w:p>
        </w:tc>
        <w:tc>
          <w:tcPr>
            <w:tcW w:type="dxa" w:w="2379"/>
          </w:tcPr>
          <w:p>
            <w:pPr>
              <w:spacing w:after="40"/>
              <w:jc w:val="left"/>
            </w:pPr>
            <w:r>
              <w:rPr>
                <w:rFonts w:ascii="Inter" w:hAnsi="Inter"/>
                <w:b w:val="0"/>
                <w:color w:val="1A1A1A"/>
                <w:sz w:val="18"/>
              </w:rPr>
              <w:t>4 GB live, 11 to 16 GB disk</w:t>
            </w:r>
          </w:p>
        </w:tc>
        <w:tc>
          <w:tcPr>
            <w:tcW w:type="dxa" w:w="2379"/>
          </w:tcPr>
          <w:p>
            <w:pPr>
              <w:spacing w:after="40"/>
              <w:jc w:val="left"/>
            </w:pPr>
            <w:r>
              <w:rPr>
                <w:rFonts w:ascii="Inter" w:hAnsi="Inter"/>
                <w:b w:val="0"/>
                <w:color w:val="1A1A1A"/>
                <w:sz w:val="18"/>
              </w:rPr>
              <w:t>10 GB live, 28 to 40 GB disk</w:t>
            </w:r>
          </w:p>
        </w:tc>
      </w:tr>
      <w:tr>
        <w:tc>
          <w:tcPr>
            <w:tcW w:type="dxa" w:w="2379"/>
            <w:shd w:val="clear" w:fill="F4F1EA"/>
          </w:tcPr>
          <w:p>
            <w:pPr>
              <w:spacing w:after="40"/>
              <w:jc w:val="left"/>
            </w:pPr>
            <w:r>
              <w:rPr>
                <w:rFonts w:ascii="Inter" w:hAnsi="Inter"/>
                <w:b w:val="0"/>
                <w:color w:val="1A1A1A"/>
                <w:sz w:val="18"/>
              </w:rPr>
              <w:t>50 MB</w:t>
            </w:r>
          </w:p>
        </w:tc>
        <w:tc>
          <w:tcPr>
            <w:tcW w:type="dxa" w:w="2379"/>
            <w:shd w:val="clear" w:fill="F4F1EA"/>
          </w:tcPr>
          <w:p>
            <w:pPr>
              <w:spacing w:after="40"/>
              <w:jc w:val="left"/>
            </w:pPr>
            <w:r>
              <w:rPr>
                <w:rFonts w:ascii="Inter" w:hAnsi="Inter"/>
                <w:b w:val="0"/>
                <w:color w:val="1A1A1A"/>
                <w:sz w:val="18"/>
              </w:rPr>
              <w:t>2.5 GB live, 7 to 10 GB disk</w:t>
            </w:r>
          </w:p>
        </w:tc>
        <w:tc>
          <w:tcPr>
            <w:tcW w:type="dxa" w:w="2379"/>
            <w:shd w:val="clear" w:fill="F4F1EA"/>
          </w:tcPr>
          <w:p>
            <w:pPr>
              <w:spacing w:after="40"/>
              <w:jc w:val="left"/>
            </w:pPr>
            <w:r>
              <w:rPr>
                <w:rFonts w:ascii="Inter" w:hAnsi="Inter"/>
                <w:b w:val="0"/>
                <w:color w:val="1A1A1A"/>
                <w:sz w:val="18"/>
              </w:rPr>
              <w:t>10 GB live, 28 to 40 GB disk</w:t>
            </w:r>
          </w:p>
        </w:tc>
        <w:tc>
          <w:tcPr>
            <w:tcW w:type="dxa" w:w="2379"/>
            <w:shd w:val="clear" w:fill="F4F1EA"/>
          </w:tcPr>
          <w:p>
            <w:pPr>
              <w:spacing w:after="40"/>
              <w:jc w:val="left"/>
            </w:pPr>
            <w:r>
              <w:rPr>
                <w:rFonts w:ascii="Inter" w:hAnsi="Inter"/>
                <w:b w:val="0"/>
                <w:color w:val="1A1A1A"/>
                <w:sz w:val="18"/>
              </w:rPr>
              <w:t>25 GB live, 70 to 100 GB disk</w:t>
            </w:r>
          </w:p>
        </w:tc>
      </w:tr>
      <w:tr>
        <w:tc>
          <w:tcPr>
            <w:tcW w:type="dxa" w:w="2379"/>
          </w:tcPr>
          <w:p>
            <w:pPr>
              <w:spacing w:after="40"/>
              <w:jc w:val="left"/>
            </w:pPr>
            <w:r>
              <w:rPr>
                <w:rFonts w:ascii="Inter" w:hAnsi="Inter"/>
                <w:b w:val="0"/>
                <w:color w:val="1A1A1A"/>
                <w:sz w:val="18"/>
              </w:rPr>
              <w:t>100 MB</w:t>
            </w:r>
          </w:p>
        </w:tc>
        <w:tc>
          <w:tcPr>
            <w:tcW w:type="dxa" w:w="2379"/>
          </w:tcPr>
          <w:p>
            <w:pPr>
              <w:spacing w:after="40"/>
              <w:jc w:val="left"/>
            </w:pPr>
            <w:r>
              <w:rPr>
                <w:rFonts w:ascii="Inter" w:hAnsi="Inter"/>
                <w:b w:val="0"/>
                <w:color w:val="1A1A1A"/>
                <w:sz w:val="18"/>
              </w:rPr>
              <w:t>5 GB live, 14 to 20 GB disk</w:t>
            </w:r>
          </w:p>
        </w:tc>
        <w:tc>
          <w:tcPr>
            <w:tcW w:type="dxa" w:w="2379"/>
          </w:tcPr>
          <w:p>
            <w:pPr>
              <w:spacing w:after="40"/>
              <w:jc w:val="left"/>
            </w:pPr>
            <w:r>
              <w:rPr>
                <w:rFonts w:ascii="Inter" w:hAnsi="Inter"/>
                <w:b w:val="0"/>
                <w:color w:val="1A1A1A"/>
                <w:sz w:val="18"/>
              </w:rPr>
              <w:t>20 GB live, 56 to 80 GB disk</w:t>
            </w:r>
          </w:p>
        </w:tc>
        <w:tc>
          <w:tcPr>
            <w:tcW w:type="dxa" w:w="2379"/>
          </w:tcPr>
          <w:p>
            <w:pPr>
              <w:spacing w:after="40"/>
              <w:jc w:val="left"/>
            </w:pPr>
            <w:r>
              <w:rPr>
                <w:rFonts w:ascii="Inter" w:hAnsi="Inter"/>
                <w:b w:val="0"/>
                <w:color w:val="1A1A1A"/>
                <w:sz w:val="18"/>
              </w:rPr>
              <w:t>50 GB live, 140 to 200 GB disk</w:t>
            </w:r>
          </w:p>
        </w:tc>
      </w:tr>
    </w:tbl>
    <w:p>
      <w:pPr>
        <w:spacing w:after="80"/>
      </w:pPr>
    </w:p>
    <w:p>
      <w:pPr>
        <w:spacing w:after="140"/>
      </w:pPr>
      <w:r>
        <w:rPr>
          <w:rFonts w:ascii="Inter" w:hAnsi="Inter"/>
          <w:b w:val="0"/>
          <w:color w:val="1A1A1A"/>
          <w:sz w:val="20"/>
        </w:rPr>
        <w:t>The 19 GB currently fitted is exhausted somewhere in the middle of that table. That is the sizing conversation already open with Linda, and this table is the reason for it.</w:t>
      </w:r>
    </w:p>
    <w:p>
      <w:pPr>
        <w:spacing w:after="40"/>
        <w:pBdr>
          <w:bottom w:val="single" w:sz="4" w:space="8" w:color="B9975B"/>
        </w:pBdr>
      </w:pPr>
    </w:p>
    <w:p>
      <w:pPr>
        <w:spacing w:before="280" w:after="60"/>
        <w:pBdr>
          <w:bottom w:val="single" w:sz="4" w:space="8" w:color="B9975B"/>
        </w:pBdr>
      </w:pPr>
      <w:r>
        <w:rPr>
          <w:rFonts w:ascii="Montserrat" w:hAnsi="Montserrat"/>
          <w:b/>
          <w:color w:val="0D1E32"/>
          <w:sz w:val="28"/>
        </w:rPr>
        <w:t>6. The five figures still needed</w:t>
      </w:r>
    </w:p>
    <w:p>
      <w:pPr>
        <w:spacing w:after="140"/>
      </w:pPr>
      <w:r>
        <w:rPr>
          <w:rFonts w:ascii="Inter" w:hAnsi="Inter"/>
          <w:b w:val="0"/>
          <w:color w:val="1A1A1A"/>
          <w:sz w:val="20"/>
        </w:rPr>
        <w:t>Three are supplier figures, two are Curiosa's.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fill="0D1E32"/>
          </w:tcPr>
          <w:p>
            <w:pPr>
              <w:spacing w:after="40"/>
            </w:pPr>
            <w:r>
              <w:rPr>
                <w:rFonts w:ascii="Montserrat" w:hAnsi="Montserrat"/>
                <w:b/>
                <w:color w:val="FFFFFF"/>
                <w:sz w:val="18"/>
              </w:rPr>
              <w:t>#</w:t>
            </w:r>
          </w:p>
        </w:tc>
        <w:tc>
          <w:tcPr>
            <w:tcW w:type="dxa" w:w="2379"/>
            <w:shd w:val="clear" w:fill="0D1E32"/>
          </w:tcPr>
          <w:p>
            <w:pPr>
              <w:spacing w:after="40"/>
            </w:pPr>
            <w:r>
              <w:rPr>
                <w:rFonts w:ascii="Montserrat" w:hAnsi="Montserrat"/>
                <w:b/>
                <w:color w:val="FFFFFF"/>
                <w:sz w:val="18"/>
              </w:rPr>
              <w:t>Figure</w:t>
            </w:r>
          </w:p>
        </w:tc>
        <w:tc>
          <w:tcPr>
            <w:tcW w:type="dxa" w:w="2379"/>
            <w:shd w:val="clear" w:fill="0D1E32"/>
          </w:tcPr>
          <w:p>
            <w:pPr>
              <w:spacing w:after="40"/>
            </w:pPr>
            <w:r>
              <w:rPr>
                <w:rFonts w:ascii="Montserrat" w:hAnsi="Montserrat"/>
                <w:b/>
                <w:color w:val="FFFFFF"/>
                <w:sz w:val="18"/>
              </w:rPr>
              <w:t>From</w:t>
            </w:r>
          </w:p>
        </w:tc>
        <w:tc>
          <w:tcPr>
            <w:tcW w:type="dxa" w:w="2379"/>
            <w:shd w:val="clear" w:fill="0D1E32"/>
          </w:tcPr>
          <w:p>
            <w:pPr>
              <w:spacing w:after="40"/>
            </w:pPr>
            <w:r>
              <w:rPr>
                <w:rFonts w:ascii="Montserrat" w:hAnsi="Montserrat"/>
                <w:b/>
                <w:color w:val="FFFFFF"/>
                <w:sz w:val="18"/>
              </w:rPr>
              <w:t>Why it matters</w:t>
            </w:r>
          </w:p>
        </w:tc>
      </w:tr>
      <w:tr>
        <w:tc>
          <w:tcPr>
            <w:tcW w:type="dxa" w:w="2379"/>
          </w:tcPr>
          <w:p>
            <w:pPr>
              <w:spacing w:after="40"/>
              <w:jc w:val="left"/>
            </w:pPr>
            <w:r>
              <w:rPr>
                <w:rFonts w:ascii="Inter" w:hAnsi="Inter"/>
                <w:b w:val="0"/>
                <w:color w:val="1A1A1A"/>
                <w:sz w:val="18"/>
              </w:rPr>
              <w:t>1</w:t>
            </w:r>
          </w:p>
        </w:tc>
        <w:tc>
          <w:tcPr>
            <w:tcW w:type="dxa" w:w="2379"/>
          </w:tcPr>
          <w:p>
            <w:pPr>
              <w:spacing w:after="40"/>
              <w:jc w:val="left"/>
            </w:pPr>
            <w:r>
              <w:rPr>
                <w:rFonts w:ascii="Inter" w:hAnsi="Inter"/>
                <w:b w:val="0"/>
                <w:color w:val="1A1A1A"/>
                <w:sz w:val="18"/>
              </w:rPr>
              <w:t>Monthly cost of the virtual server as fitted</w:t>
            </w:r>
          </w:p>
        </w:tc>
        <w:tc>
          <w:tcPr>
            <w:tcW w:type="dxa" w:w="2379"/>
          </w:tcPr>
          <w:p>
            <w:pPr>
              <w:spacing w:after="40"/>
              <w:jc w:val="left"/>
            </w:pPr>
            <w:r>
              <w:rPr>
                <w:rFonts w:ascii="Inter" w:hAnsi="Inter"/>
                <w:b w:val="0"/>
                <w:color w:val="1A1A1A"/>
                <w:sz w:val="18"/>
              </w:rPr>
              <w:t>Roland, from the invoice</w:t>
            </w:r>
          </w:p>
        </w:tc>
        <w:tc>
          <w:tcPr>
            <w:tcW w:type="dxa" w:w="2379"/>
          </w:tcPr>
          <w:p>
            <w:pPr>
              <w:spacing w:after="40"/>
              <w:jc w:val="left"/>
            </w:pPr>
            <w:r>
              <w:rPr>
                <w:rFonts w:ascii="Inter" w:hAnsi="Inter"/>
                <w:b w:val="0"/>
                <w:color w:val="1A1A1A"/>
                <w:sz w:val="18"/>
              </w:rPr>
              <w:t>The fixed base of every price</w:t>
            </w:r>
          </w:p>
        </w:tc>
      </w:tr>
      <w:tr>
        <w:tc>
          <w:tcPr>
            <w:tcW w:type="dxa" w:w="2379"/>
            <w:shd w:val="clear" w:fill="F4F1EA"/>
          </w:tcPr>
          <w:p>
            <w:pPr>
              <w:spacing w:after="40"/>
              <w:jc w:val="left"/>
            </w:pPr>
            <w:r>
              <w:rPr>
                <w:rFonts w:ascii="Inter" w:hAnsi="Inter"/>
                <w:b w:val="0"/>
                <w:color w:val="1A1A1A"/>
                <w:sz w:val="18"/>
              </w:rPr>
              <w:t>2</w:t>
            </w:r>
          </w:p>
        </w:tc>
        <w:tc>
          <w:tcPr>
            <w:tcW w:type="dxa" w:w="2379"/>
            <w:shd w:val="clear" w:fill="F4F1EA"/>
          </w:tcPr>
          <w:p>
            <w:pPr>
              <w:spacing w:after="40"/>
              <w:jc w:val="left"/>
            </w:pPr>
            <w:r>
              <w:rPr>
                <w:rFonts w:ascii="Inter" w:hAnsi="Inter"/>
                <w:b w:val="0"/>
                <w:color w:val="1A1A1A"/>
                <w:sz w:val="18"/>
              </w:rPr>
              <w:t>Cost of disk beyond 19 GB, per GB per month</w:t>
            </w:r>
          </w:p>
        </w:tc>
        <w:tc>
          <w:tcPr>
            <w:tcW w:type="dxa" w:w="2379"/>
            <w:shd w:val="clear" w:fill="F4F1EA"/>
          </w:tcPr>
          <w:p>
            <w:pPr>
              <w:spacing w:after="40"/>
              <w:jc w:val="left"/>
            </w:pPr>
            <w:r>
              <w:rPr>
                <w:rFonts w:ascii="Inter" w:hAnsi="Inter"/>
                <w:b w:val="0"/>
                <w:color w:val="1A1A1A"/>
                <w:sz w:val="18"/>
              </w:rPr>
              <w:t>Linda, InspireTec</w:t>
            </w:r>
          </w:p>
        </w:tc>
        <w:tc>
          <w:tcPr>
            <w:tcW w:type="dxa" w:w="2379"/>
            <w:shd w:val="clear" w:fill="F4F1EA"/>
          </w:tcPr>
          <w:p>
            <w:pPr>
              <w:spacing w:after="40"/>
              <w:jc w:val="left"/>
            </w:pPr>
            <w:r>
              <w:rPr>
                <w:rFonts w:ascii="Inter" w:hAnsi="Inter"/>
                <w:b w:val="0"/>
                <w:color w:val="1A1A1A"/>
                <w:sz w:val="18"/>
              </w:rPr>
              <w:t>Turns every gigabyte above into rand</w:t>
            </w:r>
          </w:p>
        </w:tc>
      </w:tr>
      <w:tr>
        <w:tc>
          <w:tcPr>
            <w:tcW w:type="dxa" w:w="2379"/>
          </w:tcPr>
          <w:p>
            <w:pPr>
              <w:spacing w:after="40"/>
              <w:jc w:val="left"/>
            </w:pPr>
            <w:r>
              <w:rPr>
                <w:rFonts w:ascii="Inter" w:hAnsi="Inter"/>
                <w:b w:val="0"/>
                <w:color w:val="1A1A1A"/>
                <w:sz w:val="18"/>
              </w:rPr>
              <w:t>3</w:t>
            </w:r>
          </w:p>
        </w:tc>
        <w:tc>
          <w:tcPr>
            <w:tcW w:type="dxa" w:w="2379"/>
          </w:tcPr>
          <w:p>
            <w:pPr>
              <w:spacing w:after="40"/>
              <w:jc w:val="left"/>
            </w:pPr>
            <w:r>
              <w:rPr>
                <w:rFonts w:ascii="Inter" w:hAnsi="Inter"/>
                <w:b w:val="0"/>
                <w:color w:val="1A1A1A"/>
                <w:sz w:val="18"/>
              </w:rPr>
              <w:t>Whether backups can go on a separate attached volume</w:t>
            </w:r>
          </w:p>
        </w:tc>
        <w:tc>
          <w:tcPr>
            <w:tcW w:type="dxa" w:w="2379"/>
          </w:tcPr>
          <w:p>
            <w:pPr>
              <w:spacing w:after="40"/>
              <w:jc w:val="left"/>
            </w:pPr>
            <w:r>
              <w:rPr>
                <w:rFonts w:ascii="Inter" w:hAnsi="Inter"/>
                <w:b w:val="0"/>
                <w:color w:val="1A1A1A"/>
                <w:sz w:val="18"/>
              </w:rPr>
              <w:t>Linda, InspireTec</w:t>
            </w:r>
          </w:p>
        </w:tc>
        <w:tc>
          <w:tcPr>
            <w:tcW w:type="dxa" w:w="2379"/>
          </w:tcPr>
          <w:p>
            <w:pPr>
              <w:spacing w:after="40"/>
              <w:jc w:val="left"/>
            </w:pPr>
            <w:r>
              <w:rPr>
                <w:rFonts w:ascii="Inter" w:hAnsi="Inter"/>
                <w:b w:val="0"/>
                <w:color w:val="1A1A1A"/>
                <w:sz w:val="18"/>
              </w:rPr>
              <w:t>Changes the 2.8 to 4.0 multiplier</w:t>
            </w:r>
          </w:p>
        </w:tc>
      </w:tr>
      <w:tr>
        <w:tc>
          <w:tcPr>
            <w:tcW w:type="dxa" w:w="2379"/>
            <w:shd w:val="clear" w:fill="F4F1EA"/>
          </w:tcPr>
          <w:p>
            <w:pPr>
              <w:spacing w:after="40"/>
              <w:jc w:val="left"/>
            </w:pPr>
            <w:r>
              <w:rPr>
                <w:rFonts w:ascii="Inter" w:hAnsi="Inter"/>
                <w:b w:val="0"/>
                <w:color w:val="1A1A1A"/>
                <w:sz w:val="18"/>
              </w:rPr>
              <w:t>4</w:t>
            </w:r>
          </w:p>
        </w:tc>
        <w:tc>
          <w:tcPr>
            <w:tcW w:type="dxa" w:w="2379"/>
            <w:shd w:val="clear" w:fill="F4F1EA"/>
          </w:tcPr>
          <w:p>
            <w:pPr>
              <w:spacing w:after="40"/>
              <w:jc w:val="left"/>
            </w:pPr>
            <w:r>
              <w:rPr>
                <w:rFonts w:ascii="Inter" w:hAnsi="Inter"/>
                <w:b/>
                <w:color w:val="1A1A1A"/>
                <w:sz w:val="18"/>
              </w:rPr>
              <w:t>Curiosa's own retention period</w:t>
            </w:r>
          </w:p>
        </w:tc>
        <w:tc>
          <w:tcPr>
            <w:tcW w:type="dxa" w:w="2379"/>
            <w:shd w:val="clear" w:fill="F4F1EA"/>
          </w:tcPr>
          <w:p>
            <w:pPr>
              <w:spacing w:after="40"/>
              <w:jc w:val="left"/>
            </w:pPr>
            <w:r>
              <w:rPr>
                <w:rFonts w:ascii="Inter" w:hAnsi="Inter"/>
                <w:b w:val="0"/>
                <w:color w:val="1A1A1A"/>
                <w:sz w:val="18"/>
              </w:rPr>
              <w:t>Heidi, from the QMS policy</w:t>
            </w:r>
          </w:p>
        </w:tc>
        <w:tc>
          <w:tcPr>
            <w:tcW w:type="dxa" w:w="2379"/>
            <w:shd w:val="clear" w:fill="F4F1EA"/>
          </w:tcPr>
          <w:p>
            <w:pPr>
              <w:spacing w:after="40"/>
              <w:jc w:val="left"/>
            </w:pPr>
            <w:r>
              <w:rPr>
                <w:rFonts w:ascii="Inter" w:hAnsi="Inter"/>
                <w:b w:val="0"/>
                <w:color w:val="1A1A1A"/>
                <w:sz w:val="18"/>
              </w:rPr>
              <w:t>Multiplies per-learner storage by the number of years</w:t>
            </w:r>
          </w:p>
        </w:tc>
      </w:tr>
      <w:tr>
        <w:tc>
          <w:tcPr>
            <w:tcW w:type="dxa" w:w="2379"/>
          </w:tcPr>
          <w:p>
            <w:pPr>
              <w:spacing w:after="40"/>
              <w:jc w:val="left"/>
            </w:pPr>
            <w:r>
              <w:rPr>
                <w:rFonts w:ascii="Inter" w:hAnsi="Inter"/>
                <w:b w:val="0"/>
                <w:color w:val="1A1A1A"/>
                <w:sz w:val="18"/>
              </w:rPr>
              <w:t>5</w:t>
            </w:r>
          </w:p>
        </w:tc>
        <w:tc>
          <w:tcPr>
            <w:tcW w:type="dxa" w:w="2379"/>
          </w:tcPr>
          <w:p>
            <w:pPr>
              <w:spacing w:after="40"/>
              <w:jc w:val="left"/>
            </w:pPr>
            <w:r>
              <w:rPr>
                <w:rFonts w:ascii="Inter" w:hAnsi="Inter"/>
                <w:b w:val="0"/>
                <w:color w:val="1A1A1A"/>
                <w:sz w:val="18"/>
              </w:rPr>
              <w:t>Staff hours per learner for assessment and moderation</w:t>
            </w:r>
          </w:p>
        </w:tc>
        <w:tc>
          <w:tcPr>
            <w:tcW w:type="dxa" w:w="2379"/>
          </w:tcPr>
          <w:p>
            <w:pPr>
              <w:spacing w:after="40"/>
              <w:jc w:val="left"/>
            </w:pPr>
            <w:r>
              <w:rPr>
                <w:rFonts w:ascii="Inter" w:hAnsi="Inter"/>
                <w:b w:val="0"/>
                <w:color w:val="1A1A1A"/>
                <w:sz w:val="18"/>
              </w:rPr>
              <w:t>Heidi</w:t>
            </w:r>
          </w:p>
        </w:tc>
        <w:tc>
          <w:tcPr>
            <w:tcW w:type="dxa" w:w="2379"/>
          </w:tcPr>
          <w:p>
            <w:pPr>
              <w:spacing w:after="40"/>
              <w:jc w:val="left"/>
            </w:pPr>
            <w:r>
              <w:rPr>
                <w:rFonts w:ascii="Inter" w:hAnsi="Inter"/>
                <w:b w:val="0"/>
                <w:color w:val="1A1A1A"/>
                <w:sz w:val="18"/>
              </w:rPr>
              <w:t>Almost certainly the largest cost in the chain</w:t>
            </w:r>
          </w:p>
        </w:tc>
      </w:tr>
    </w:tbl>
    <w:p>
      <w:pPr>
        <w:spacing w:after="80"/>
      </w:pPr>
    </w:p>
    <w:p>
      <w:pPr>
        <w:spacing w:before="200" w:after="60"/>
      </w:pPr>
      <w:r>
        <w:rPr>
          <w:rFonts w:ascii="Montserrat" w:hAnsi="Montserrat"/>
          <w:b/>
          <w:color w:val="0D1E32"/>
          <w:sz w:val="23"/>
        </w:rPr>
        <w:t>A note on item 4</w:t>
      </w:r>
    </w:p>
    <w:p>
      <w:pPr>
        <w:spacing w:after="140"/>
      </w:pPr>
      <w:r>
        <w:rPr>
          <w:rFonts w:ascii="Inter" w:hAnsi="Inter"/>
          <w:b w:val="0"/>
          <w:color w:val="1A1A1A"/>
          <w:sz w:val="20"/>
        </w:rPr>
        <w:t>The platform does not assert a legislated retention period, and this document does not either. Retention is a per-tenant setting, counted from the date of certification, and it ships with a default of five years purely so that a new tenant has a working value. Curiosa's figure should come from Curiosa's own quality management policy and from whatever the QCTO and the OQSF actually require, which is Heidi's ground rather than ROFT's.</w:t>
      </w:r>
    </w:p>
    <w:p>
      <w:pPr>
        <w:spacing w:after="140"/>
      </w:pPr>
      <w:r>
        <w:rPr>
          <w:rFonts w:ascii="Inter" w:hAnsi="Inter"/>
          <w:b w:val="0"/>
          <w:color w:val="1A1A1A"/>
          <w:sz w:val="20"/>
        </w:rPr>
        <w:t>The number matters more than it looks. Per-learner storage is charged for the whole period, so the difference between three years and ten years is the difference between one unit of retained storage and three.</w:t>
      </w:r>
    </w:p>
    <w:p>
      <w:pPr>
        <w:spacing w:after="40"/>
        <w:pBdr>
          <w:bottom w:val="single" w:sz="4" w:space="8" w:color="B9975B"/>
        </w:pBdr>
      </w:pPr>
    </w:p>
    <w:p>
      <w:pPr>
        <w:spacing w:before="280" w:after="60"/>
        <w:pBdr>
          <w:bottom w:val="single" w:sz="4" w:space="8" w:color="B9975B"/>
        </w:pBdr>
      </w:pPr>
      <w:r>
        <w:rPr>
          <w:rFonts w:ascii="Montserrat" w:hAnsi="Montserrat"/>
          <w:b/>
          <w:color w:val="0D1E32"/>
          <w:sz w:val="28"/>
        </w:rPr>
        <w:t>7. The conclusion worth arguing about on Wednesday</w:t>
      </w:r>
    </w:p>
    <w:p>
      <w:pPr>
        <w:spacing w:after="140"/>
      </w:pPr>
      <w:r>
        <w:rPr>
          <w:rFonts w:ascii="Inter" w:hAnsi="Inter"/>
          <w:b w:val="0"/>
          <w:color w:val="1A1A1A"/>
          <w:sz w:val="20"/>
        </w:rPr>
        <w:t>On the measurements available, the infrastructure is cheap and the people are not.</w:t>
      </w:r>
    </w:p>
    <w:p>
      <w:pPr>
        <w:spacing w:after="140"/>
      </w:pPr>
      <w:r>
        <w:rPr>
          <w:rFonts w:ascii="Inter" w:hAnsi="Inter"/>
          <w:b w:val="0"/>
          <w:color w:val="1A1A1A"/>
          <w:sz w:val="20"/>
        </w:rPr>
        <w:t>A 19 GB server holds an entire qualification, its material, its database and three full backups, at the cost of a small virtual server. Against that, stage E of the flow, internal assessment and moderation, consumes qualified human time per learner per module, across 15 modules and 154 criteria for this one qualification alone.</w:t>
      </w:r>
    </w:p>
    <w:p>
      <w:pPr>
        <w:spacing w:after="140"/>
      </w:pPr>
      <w:r>
        <w:rPr>
          <w:rFonts w:ascii="Inter" w:hAnsi="Inter"/>
          <w:b w:val="0"/>
          <w:color w:val="1A1A1A"/>
          <w:sz w:val="20"/>
        </w:rPr>
        <w:t>A billing model built on storage will therefore be precise about the cheap part of the chain and silent about the expensive part. The recommendation is that storage is priced as a pass-through with the multiplier in section 4 made explicit, and that the margin is built on stage E, where the cost and the value both actually sit.</w:t>
      </w:r>
    </w:p>
    <w:p>
      <w:pPr>
        <w:spacing w:after="140"/>
      </w:pPr>
      <w:r>
        <w:rPr>
          <w:rFonts w:ascii="Inter" w:hAnsi="Inter"/>
          <w:b w:val="0"/>
          <w:color w:val="1A1A1A"/>
          <w:sz w:val="20"/>
        </w:rPr>
        <w:t>That is a proposition to test against Heidi's actuarial framing rather than a conclusion to accept, and it is the reason item 5 matters more than items 1 to 3.</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