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006666"/>
            <w:tcMar>
              <w:top w:w="80" w:type="dxa"/>
              <w:bottom w:w="80" w:type="dxa"/>
              <w:left w:w="120" w:type="dxa"/>
              <w:right w:w="120" w:type="dxa"/>
            </w:tcMar>
          </w:tcPr>
          <w:p>
            <w:pPr>
              <w:spacing w:after="0"/>
            </w:pPr>
            <w:r>
              <w:rPr>
                <w:rFonts w:ascii="Arial" w:hAnsi="Arial"/>
                <w:b/>
                <w:color w:val="FFFFFF"/>
                <w:sz w:val="19"/>
              </w:rPr>
              <w:t>INSTITUTION:</w:t>
            </w:r>
          </w:p>
        </w:tc>
        <w:tc>
          <w:tcPr>
            <w:tcW w:type="dxa" w:w="6192"/>
            <w:shd w:fill="E6F2F2"/>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MODULES COVERED:</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KM-05 (Delivering Human Resource Management Services, NQF L6, 7 Credits)</w:t>
              <w:br/>
              <w:t>PM-05 (Deliver HRM Services, NQF L6, 10 Credits)</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DOCUMENT TYPE:</w:t>
            </w:r>
          </w:p>
        </w:tc>
        <w:tc>
          <w:tcPr>
            <w:tcW w:type="dxa" w:w="6192"/>
            <w:shd w:fill="E6F2F2"/>
            <w:tcMar>
              <w:top w:w="80" w:type="dxa"/>
              <w:bottom w:w="80" w:type="dxa"/>
              <w:left w:w="120" w:type="dxa"/>
              <w:right w:w="120" w:type="dxa"/>
            </w:tcMar>
          </w:tcPr>
          <w:p>
            <w:pPr>
              <w:spacing w:after="0"/>
            </w:pPr>
            <w:r>
              <w:rPr>
                <w:rFonts w:ascii="Calibri" w:hAnsi="Calibri"/>
                <w:b/>
                <w:color w:val="222222"/>
                <w:sz w:val="20"/>
              </w:rPr>
              <w:t>ASSESSOR GUIDE &amp; COMPREHENSIVE MARKING MEMORANDUM</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ASSESSMENT METHOD:</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Internal Summative Assessment (Script SU 5 - Version 1) | Total: 100 Marks | Pass: 75%</w:t>
            </w:r>
          </w:p>
        </w:tc>
      </w:tr>
      <w:tr>
        <w:tc>
          <w:tcPr>
            <w:tcW w:type="dxa" w:w="3168"/>
            <w:shd w:fill="006666"/>
            <w:tcMar>
              <w:top w:w="80" w:type="dxa"/>
              <w:bottom w:w="80" w:type="dxa"/>
              <w:left w:w="120" w:type="dxa"/>
              <w:right w:w="120" w:type="dxa"/>
            </w:tcMar>
          </w:tcPr>
          <w:p>
            <w:pPr>
              <w:spacing w:after="0"/>
            </w:pPr>
            <w:r>
              <w:rPr>
                <w:rFonts w:ascii="Arial" w:hAnsi="Arial"/>
                <w:b/>
                <w:color w:val="FFFFFF"/>
                <w:sz w:val="19"/>
              </w:rPr>
              <w:t>ASSESSOR NAME &amp; REG #:</w:t>
            </w:r>
          </w:p>
        </w:tc>
        <w:tc>
          <w:tcPr>
            <w:tcW w:type="dxa" w:w="6192"/>
            <w:shd w:fill="E6F2F2"/>
            <w:tcMar>
              <w:top w:w="80" w:type="dxa"/>
              <w:bottom w:w="80" w:type="dxa"/>
              <w:left w:w="120" w:type="dxa"/>
              <w:right w:w="120" w:type="dxa"/>
            </w:tcMar>
          </w:tcPr>
          <w:p>
            <w:pPr>
              <w:spacing w:after="0"/>
            </w:pPr>
            <w:r>
              <w:rPr>
                <w:rFonts w:ascii="Calibri" w:hAnsi="Calibri"/>
                <w:b w:val="0"/>
                <w:color w:val="222222"/>
                <w:sz w:val="20"/>
              </w:rPr>
              <w:t>__________________________________________________</w:t>
            </w:r>
          </w:p>
        </w:tc>
      </w:tr>
    </w:tbl>
    <w:p>
      <w:pPr>
        <w:spacing w:after="200"/>
      </w:pPr>
    </w:p>
    <w:p>
      <w:pPr>
        <w:keepNext/>
        <w:spacing w:before="320" w:after="120"/>
      </w:pPr>
      <w:r>
        <w:rPr>
          <w:rFonts w:ascii="Arial" w:hAnsi="Arial"/>
          <w:b/>
          <w:color w:val="006666"/>
          <w:sz w:val="32"/>
        </w:rPr>
        <w:t>SECTION 1: ASSESSOR GUIDANCE &amp; ASSESSMENT PRINCIPLES</w:t>
      </w:r>
    </w:p>
    <w:p>
      <w:pPr>
        <w:spacing w:after="60" w:line="276" w:lineRule="auto"/>
      </w:pPr>
      <w:r>
        <w:rPr>
          <w:rFonts w:ascii="Calibri" w:hAnsi="Calibri"/>
          <w:b w:val="0"/>
          <w:i w:val="0"/>
          <w:color w:val="222222"/>
          <w:sz w:val="22"/>
        </w:rPr>
        <w:t>1. Purpose of the Assessor Guide: Provides standardized marking criteria, complete answer keys, technical rationales, and evaluation rubrics for assessing Study Unit 5 (KM-05 and PM-05).</w:t>
      </w:r>
    </w:p>
    <w:p>
      <w:pPr>
        <w:spacing w:after="60" w:line="276" w:lineRule="auto"/>
      </w:pPr>
      <w:r>
        <w:rPr>
          <w:rFonts w:ascii="Calibri" w:hAnsi="Calibri"/>
          <w:b w:val="0"/>
          <w:i w:val="0"/>
          <w:color w:val="222222"/>
          <w:sz w:val="22"/>
        </w:rPr>
        <w:t>2. Assessment Benchmark (NQF Level 6): Learners must demonstrate applied operational knowledge across core HR Service Delivery domains: Delivery Models, SABPP HR Standards, Strategic Value Addition, SLA Contract Management, Ethical People Analytics, Policy Compliance, and Executive HR Reporting.</w:t>
      </w:r>
    </w:p>
    <w:p>
      <w:pPr>
        <w:spacing w:after="60" w:line="276" w:lineRule="auto"/>
      </w:pPr>
      <w:r>
        <w:rPr>
          <w:rFonts w:ascii="Calibri" w:hAnsi="Calibri"/>
          <w:b w:val="0"/>
          <w:i w:val="0"/>
          <w:color w:val="222222"/>
          <w:sz w:val="22"/>
        </w:rPr>
        <w:t>3. Pass Mark Threshold: The pass mark is strictly 75% (75/100 Marks). Candidates scoring below 75% must be awarded a 'Not Yet Competent' (NYC) result and scheduled for reassessment.</w:t>
      </w:r>
    </w:p>
    <w:p>
      <w:pPr>
        <w:spacing w:after="60" w:line="276" w:lineRule="auto"/>
      </w:pPr>
      <w:r>
        <w:rPr>
          <w:rFonts w:ascii="Calibri" w:hAnsi="Calibri"/>
          <w:b w:val="0"/>
          <w:i w:val="0"/>
          <w:color w:val="222222"/>
          <w:sz w:val="22"/>
        </w:rPr>
        <w:t>4. Statutory &amp; Professional Standard Alignment: Evaluate responses against SABPP HR Service Delivery Standards, SHRM HR Competency Model, ISO 30400 Series, Protection of Personal Information Act (POPIA), and Contract Law principles governing SLAs.</w:t>
      </w:r>
    </w:p>
    <w:p>
      <w:pPr>
        <w:spacing w:after="200"/>
      </w:pPr>
    </w:p>
    <w:p>
      <w:pPr>
        <w:keepNext/>
        <w:spacing w:before="320" w:after="120"/>
      </w:pPr>
      <w:r>
        <w:rPr>
          <w:rFonts w:ascii="Arial" w:hAnsi="Arial"/>
          <w:b/>
          <w:color w:val="006666"/>
          <w:sz w:val="32"/>
        </w:rPr>
        <w:t>SECTION 2: SECTION A - MULTIPLE CHOICE MARKING KEY (15 MARKS)</w:t>
      </w:r>
    </w:p>
    <w:tbl>
      <w:tblPr>
        <w:tblW w:type="auto" w:w="0"/>
        <w:jc w:val="center"/>
        <w:tblLook w:firstColumn="1" w:firstRow="1" w:lastColumn="0" w:lastRow="0" w:noHBand="0" w:noVBand="1" w:val="04A0"/>
      </w:tblPr>
      <w:tblGrid>
        <w:gridCol w:w="2340"/>
        <w:gridCol w:w="2340"/>
        <w:gridCol w:w="2340"/>
        <w:gridCol w:w="2340"/>
      </w:tblGrid>
      <w:tr>
        <w:tc>
          <w:tcPr>
            <w:tcW w:type="dxa" w:w="864"/>
            <w:shd w:fill="006666"/>
          </w:tcPr>
          <w:p>
            <w:pPr>
              <w:spacing w:after="0"/>
            </w:pPr>
            <w:r>
              <w:rPr>
                <w:rFonts w:ascii="Arial" w:hAnsi="Arial"/>
                <w:b/>
                <w:color w:val="FFFFFF"/>
                <w:sz w:val="18"/>
              </w:rPr>
              <w:t>Q#</w:t>
            </w:r>
          </w:p>
        </w:tc>
        <w:tc>
          <w:tcPr>
            <w:tcW w:type="dxa" w:w="864"/>
            <w:shd w:fill="006666"/>
          </w:tcPr>
          <w:p>
            <w:pPr>
              <w:spacing w:after="0"/>
            </w:pPr>
            <w:r>
              <w:rPr>
                <w:rFonts w:ascii="Arial" w:hAnsi="Arial"/>
                <w:b/>
                <w:color w:val="FFFFFF"/>
                <w:sz w:val="18"/>
              </w:rPr>
              <w:t>Key</w:t>
            </w:r>
          </w:p>
        </w:tc>
        <w:tc>
          <w:tcPr>
            <w:tcW w:type="dxa" w:w="3312"/>
            <w:shd w:fill="006666"/>
          </w:tcPr>
          <w:p>
            <w:pPr>
              <w:spacing w:after="0"/>
            </w:pPr>
            <w:r>
              <w:rPr>
                <w:rFonts w:ascii="Arial" w:hAnsi="Arial"/>
                <w:b/>
                <w:color w:val="FFFFFF"/>
                <w:sz w:val="18"/>
              </w:rPr>
              <w:t>Correct Option</w:t>
            </w:r>
          </w:p>
        </w:tc>
        <w:tc>
          <w:tcPr>
            <w:tcW w:type="dxa" w:w="4320"/>
            <w:shd w:fill="006666"/>
          </w:tcPr>
          <w:p>
            <w:pPr>
              <w:spacing w:after="0"/>
            </w:pPr>
            <w:r>
              <w:rPr>
                <w:rFonts w:ascii="Arial" w:hAnsi="Arial"/>
                <w:b/>
                <w:color w:val="FFFFFF"/>
                <w:sz w:val="18"/>
              </w:rPr>
              <w:t>Assessor Rationale / Technical Reference</w:t>
            </w:r>
          </w:p>
        </w:tc>
      </w:tr>
      <w:tr>
        <w:tc>
          <w:tcPr>
            <w:tcW w:type="dxa" w:w="864"/>
            <w:tcMar>
              <w:top w:w="60" w:type="dxa"/>
              <w:bottom w:w="60" w:type="dxa"/>
              <w:left w:w="80" w:type="dxa"/>
              <w:right w:w="80" w:type="dxa"/>
            </w:tcMar>
          </w:tcPr>
          <w:p>
            <w:r>
              <w:rPr>
                <w:rFonts w:ascii="Calibri" w:hAnsi="Calibri"/>
              </w:rPr>
              <w:t>Q1</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Operating a Shared Services Center to process basic high-volume employee inquiries</w:t>
            </w:r>
          </w:p>
        </w:tc>
        <w:tc>
          <w:tcPr>
            <w:tcW w:type="dxa" w:w="4320"/>
            <w:tcMar>
              <w:top w:w="60" w:type="dxa"/>
              <w:bottom w:w="60" w:type="dxa"/>
              <w:left w:w="80" w:type="dxa"/>
              <w:right w:w="80" w:type="dxa"/>
            </w:tcMar>
          </w:tcPr>
          <w:p>
            <w:r>
              <w:rPr>
                <w:rFonts w:ascii="Calibri" w:hAnsi="Calibri"/>
              </w:rPr>
              <w:t>Tier 1 in a Multi-Tiered model handles high-volume transactional queries.</w:t>
            </w:r>
          </w:p>
        </w:tc>
      </w:tr>
      <w:tr>
        <w:tc>
          <w:tcPr>
            <w:tcW w:type="dxa" w:w="864"/>
            <w:tcMar>
              <w:top w:w="60" w:type="dxa"/>
              <w:bottom w:w="60" w:type="dxa"/>
              <w:left w:w="80" w:type="dxa"/>
              <w:right w:w="80" w:type="dxa"/>
            </w:tcMar>
          </w:tcPr>
          <w:p>
            <w:r>
              <w:rPr>
                <w:rFonts w:ascii="Calibri" w:hAnsi="Calibri"/>
              </w:rPr>
              <w:t>Q2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SABPP National HR Management Standard</w:t>
            </w:r>
          </w:p>
        </w:tc>
        <w:tc>
          <w:tcPr>
            <w:tcW w:type="dxa" w:w="4320"/>
            <w:tcMar>
              <w:top w:w="60" w:type="dxa"/>
              <w:bottom w:w="60" w:type="dxa"/>
              <w:left w:w="80" w:type="dxa"/>
              <w:right w:w="80" w:type="dxa"/>
            </w:tcMar>
          </w:tcPr>
          <w:p>
            <w:r>
              <w:rPr>
                <w:rFonts w:ascii="Calibri" w:hAnsi="Calibri"/>
              </w:rPr>
              <w:t>SABPP framework defines 13 core HR standards for South Africa.</w:t>
            </w:r>
          </w:p>
        </w:tc>
      </w:tr>
      <w:tr>
        <w:tc>
          <w:tcPr>
            <w:tcW w:type="dxa" w:w="864"/>
            <w:tcMar>
              <w:top w:w="60" w:type="dxa"/>
              <w:bottom w:w="60" w:type="dxa"/>
              <w:left w:w="80" w:type="dxa"/>
              <w:right w:w="80" w:type="dxa"/>
            </w:tcMar>
          </w:tcPr>
          <w:p>
            <w:r>
              <w:rPr>
                <w:rFonts w:ascii="Calibri" w:hAnsi="Calibri"/>
              </w:rPr>
              <w:t>Q3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To set measurable contractual standards for system availability and operational reliability</w:t>
            </w:r>
          </w:p>
        </w:tc>
        <w:tc>
          <w:tcPr>
            <w:tcW w:type="dxa" w:w="4320"/>
            <w:tcMar>
              <w:top w:w="60" w:type="dxa"/>
              <w:bottom w:w="60" w:type="dxa"/>
              <w:left w:w="80" w:type="dxa"/>
              <w:right w:w="80" w:type="dxa"/>
            </w:tcMar>
          </w:tcPr>
          <w:p>
            <w:r>
              <w:rPr>
                <w:rFonts w:ascii="Calibri" w:hAnsi="Calibri"/>
              </w:rPr>
              <w:t>Uptime guarantees define system availability standards in tech SLAs.</w:t>
            </w:r>
          </w:p>
        </w:tc>
      </w:tr>
      <w:tr>
        <w:tc>
          <w:tcPr>
            <w:tcW w:type="dxa" w:w="864"/>
            <w:tcMar>
              <w:top w:w="60" w:type="dxa"/>
              <w:bottom w:w="60" w:type="dxa"/>
              <w:left w:w="80" w:type="dxa"/>
              <w:right w:w="80" w:type="dxa"/>
            </w:tcMar>
          </w:tcPr>
          <w:p>
            <w:r>
              <w:rPr>
                <w:rFonts w:ascii="Calibri" w:hAnsi="Calibri"/>
              </w:rPr>
              <w:t>Q4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Collect only the personal data that is strictly necessary for the specific analytics project</w:t>
            </w:r>
          </w:p>
        </w:tc>
        <w:tc>
          <w:tcPr>
            <w:tcW w:type="dxa" w:w="4320"/>
            <w:tcMar>
              <w:top w:w="60" w:type="dxa"/>
              <w:bottom w:w="60" w:type="dxa"/>
              <w:left w:w="80" w:type="dxa"/>
              <w:right w:w="80" w:type="dxa"/>
            </w:tcMar>
          </w:tcPr>
          <w:p>
            <w:r>
              <w:rPr>
                <w:rFonts w:ascii="Calibri" w:hAnsi="Calibri"/>
              </w:rPr>
              <w:t>Data Minimization principle under POPIA and ethical guidelines.</w:t>
            </w:r>
          </w:p>
        </w:tc>
      </w:tr>
      <w:tr>
        <w:tc>
          <w:tcPr>
            <w:tcW w:type="dxa" w:w="864"/>
            <w:tcMar>
              <w:top w:w="60" w:type="dxa"/>
              <w:bottom w:w="60" w:type="dxa"/>
              <w:left w:w="80" w:type="dxa"/>
              <w:right w:w="80" w:type="dxa"/>
            </w:tcMar>
          </w:tcPr>
          <w:p>
            <w:r>
              <w:rPr>
                <w:rFonts w:ascii="Calibri" w:hAnsi="Calibri"/>
              </w:rPr>
              <w:t>Q5</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Self-Service Model</w:t>
            </w:r>
          </w:p>
        </w:tc>
        <w:tc>
          <w:tcPr>
            <w:tcW w:type="dxa" w:w="4320"/>
            <w:tcMar>
              <w:top w:w="60" w:type="dxa"/>
              <w:bottom w:w="60" w:type="dxa"/>
              <w:left w:w="80" w:type="dxa"/>
              <w:right w:w="80" w:type="dxa"/>
            </w:tcMar>
          </w:tcPr>
          <w:p>
            <w:r>
              <w:rPr>
                <w:rFonts w:ascii="Calibri" w:hAnsi="Calibri"/>
              </w:rPr>
              <w:t>Empowers staff to execute routine tasks via online portals.</w:t>
            </w:r>
          </w:p>
        </w:tc>
      </w:tr>
      <w:tr>
        <w:tc>
          <w:tcPr>
            <w:tcW w:type="dxa" w:w="864"/>
            <w:tcMar>
              <w:top w:w="60" w:type="dxa"/>
              <w:bottom w:w="60" w:type="dxa"/>
              <w:left w:w="80" w:type="dxa"/>
              <w:right w:w="80" w:type="dxa"/>
            </w:tcMar>
          </w:tcPr>
          <w:p>
            <w:r>
              <w:rPr>
                <w:rFonts w:ascii="Calibri" w:hAnsi="Calibri"/>
              </w:rPr>
              <w:t>Q6</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Service Level Agreement (SLA)</w:t>
            </w:r>
          </w:p>
        </w:tc>
        <w:tc>
          <w:tcPr>
            <w:tcW w:type="dxa" w:w="4320"/>
            <w:tcMar>
              <w:top w:w="60" w:type="dxa"/>
              <w:bottom w:w="60" w:type="dxa"/>
              <w:left w:w="80" w:type="dxa"/>
              <w:right w:w="80" w:type="dxa"/>
            </w:tcMar>
          </w:tcPr>
          <w:p>
            <w:r>
              <w:rPr>
                <w:rFonts w:ascii="Calibri" w:hAnsi="Calibri"/>
              </w:rPr>
              <w:t>SLAs define performance benchmarks, response times, and resolution metrics.</w:t>
            </w:r>
          </w:p>
        </w:tc>
      </w:tr>
      <w:tr>
        <w:tc>
          <w:tcPr>
            <w:tcW w:type="dxa" w:w="864"/>
            <w:tcMar>
              <w:top w:w="60" w:type="dxa"/>
              <w:bottom w:w="60" w:type="dxa"/>
              <w:left w:w="80" w:type="dxa"/>
              <w:right w:w="80" w:type="dxa"/>
            </w:tcMar>
          </w:tcPr>
          <w:p>
            <w:r>
              <w:rPr>
                <w:rFonts w:ascii="Calibri" w:hAnsi="Calibri"/>
              </w:rPr>
              <w:t>Q7</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By aligning human capital strategy directly with organizational objectives to drive performance</w:t>
            </w:r>
          </w:p>
        </w:tc>
        <w:tc>
          <w:tcPr>
            <w:tcW w:type="dxa" w:w="4320"/>
            <w:tcMar>
              <w:top w:w="60" w:type="dxa"/>
              <w:bottom w:w="60" w:type="dxa"/>
              <w:left w:w="80" w:type="dxa"/>
              <w:right w:w="80" w:type="dxa"/>
            </w:tcMar>
          </w:tcPr>
          <w:p>
            <w:r>
              <w:rPr>
                <w:rFonts w:ascii="Calibri" w:hAnsi="Calibri"/>
              </w:rPr>
              <w:t>Strategic HR value creation connects people strategy with business outcomes.</w:t>
            </w:r>
          </w:p>
        </w:tc>
      </w:tr>
      <w:tr>
        <w:tc>
          <w:tcPr>
            <w:tcW w:type="dxa" w:w="864"/>
            <w:tcMar>
              <w:top w:w="60" w:type="dxa"/>
              <w:bottom w:w="60" w:type="dxa"/>
              <w:left w:w="80" w:type="dxa"/>
              <w:right w:w="80" w:type="dxa"/>
            </w:tcMar>
          </w:tcPr>
          <w:p>
            <w:r>
              <w:rPr>
                <w:rFonts w:ascii="Calibri" w:hAnsi="Calibri"/>
              </w:rPr>
              <w:t>Q8</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HR Service Delivery</w:t>
            </w:r>
          </w:p>
        </w:tc>
        <w:tc>
          <w:tcPr>
            <w:tcW w:type="dxa" w:w="4320"/>
            <w:tcMar>
              <w:top w:w="60" w:type="dxa"/>
              <w:bottom w:w="60" w:type="dxa"/>
              <w:left w:w="80" w:type="dxa"/>
              <w:right w:w="80" w:type="dxa"/>
            </w:tcMar>
          </w:tcPr>
          <w:p>
            <w:r>
              <w:rPr>
                <w:rFonts w:ascii="Calibri" w:hAnsi="Calibri"/>
              </w:rPr>
              <w:t>SHRM competency for designing and executing HR services.</w:t>
            </w:r>
          </w:p>
        </w:tc>
      </w:tr>
      <w:tr>
        <w:tc>
          <w:tcPr>
            <w:tcW w:type="dxa" w:w="864"/>
            <w:tcMar>
              <w:top w:w="60" w:type="dxa"/>
              <w:bottom w:w="60" w:type="dxa"/>
              <w:left w:w="80" w:type="dxa"/>
              <w:right w:w="80" w:type="dxa"/>
            </w:tcMar>
          </w:tcPr>
          <w:p>
            <w:r>
              <w:rPr>
                <w:rFonts w:ascii="Calibri" w:hAnsi="Calibri"/>
              </w:rPr>
              <w:t>Q9</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Loss of direct operational control and potential data privacy risks</w:t>
            </w:r>
          </w:p>
        </w:tc>
        <w:tc>
          <w:tcPr>
            <w:tcW w:type="dxa" w:w="4320"/>
            <w:tcMar>
              <w:top w:w="60" w:type="dxa"/>
              <w:bottom w:w="60" w:type="dxa"/>
              <w:left w:w="80" w:type="dxa"/>
              <w:right w:w="80" w:type="dxa"/>
            </w:tcMar>
          </w:tcPr>
          <w:p>
            <w:r>
              <w:rPr>
                <w:rFonts w:ascii="Calibri" w:hAnsi="Calibri"/>
              </w:rPr>
              <w:t>Primary operational risk in complete HR outsourcing.</w:t>
            </w:r>
          </w:p>
        </w:tc>
      </w:tr>
      <w:tr>
        <w:tc>
          <w:tcPr>
            <w:tcW w:type="dxa" w:w="864"/>
            <w:tcMar>
              <w:top w:w="60" w:type="dxa"/>
              <w:bottom w:w="60" w:type="dxa"/>
              <w:left w:w="80" w:type="dxa"/>
              <w:right w:w="80" w:type="dxa"/>
            </w:tcMar>
          </w:tcPr>
          <w:p>
            <w:r>
              <w:rPr>
                <w:rFonts w:ascii="Calibri" w:hAnsi="Calibri"/>
              </w:rPr>
              <w:t>10</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ISO 30400 Series</w:t>
            </w:r>
          </w:p>
        </w:tc>
        <w:tc>
          <w:tcPr>
            <w:tcW w:type="dxa" w:w="4320"/>
            <w:tcMar>
              <w:top w:w="60" w:type="dxa"/>
              <w:bottom w:w="60" w:type="dxa"/>
              <w:left w:w="80" w:type="dxa"/>
              <w:right w:w="80" w:type="dxa"/>
            </w:tcMar>
          </w:tcPr>
          <w:p>
            <w:r>
              <w:rPr>
                <w:rFonts w:ascii="Calibri" w:hAnsi="Calibri"/>
              </w:rPr>
              <w:t>International ISO standard for HR management quality metrics.</w:t>
            </w:r>
          </w:p>
        </w:tc>
      </w:tr>
      <w:tr>
        <w:tc>
          <w:tcPr>
            <w:tcW w:type="dxa" w:w="864"/>
            <w:tcMar>
              <w:top w:w="60" w:type="dxa"/>
              <w:bottom w:w="60" w:type="dxa"/>
              <w:left w:w="80" w:type="dxa"/>
              <w:right w:w="80" w:type="dxa"/>
            </w:tcMar>
          </w:tcPr>
          <w:p>
            <w:r>
              <w:rPr>
                <w:rFonts w:ascii="Calibri" w:hAnsi="Calibri"/>
              </w:rPr>
              <w:t>Q11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Drill down through consecutive causal layers to uncover the underlying systemic failure</w:t>
            </w:r>
          </w:p>
        </w:tc>
        <w:tc>
          <w:tcPr>
            <w:tcW w:type="dxa" w:w="4320"/>
            <w:tcMar>
              <w:top w:w="60" w:type="dxa"/>
              <w:bottom w:w="60" w:type="dxa"/>
              <w:left w:w="80" w:type="dxa"/>
              <w:right w:w="80" w:type="dxa"/>
            </w:tcMar>
          </w:tcPr>
          <w:p>
            <w:r>
              <w:rPr>
                <w:rFonts w:ascii="Calibri" w:hAnsi="Calibri"/>
              </w:rPr>
              <w:t>5 Whys root cause analysis methodology.</w:t>
            </w:r>
          </w:p>
        </w:tc>
      </w:tr>
      <w:tr>
        <w:tc>
          <w:tcPr>
            <w:tcW w:type="dxa" w:w="864"/>
            <w:tcMar>
              <w:top w:w="60" w:type="dxa"/>
              <w:bottom w:w="60" w:type="dxa"/>
              <w:left w:w="80" w:type="dxa"/>
              <w:right w:w="80" w:type="dxa"/>
            </w:tcMar>
          </w:tcPr>
          <w:p>
            <w:r>
              <w:rPr>
                <w:rFonts w:ascii="Calibri" w:hAnsi="Calibri"/>
              </w:rPr>
              <w:t>Q12</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HR Service Delivery Charter</w:t>
            </w:r>
          </w:p>
        </w:tc>
        <w:tc>
          <w:tcPr>
            <w:tcW w:type="dxa" w:w="4320"/>
            <w:tcMar>
              <w:top w:w="60" w:type="dxa"/>
              <w:bottom w:w="60" w:type="dxa"/>
              <w:left w:w="80" w:type="dxa"/>
              <w:right w:w="80" w:type="dxa"/>
            </w:tcMar>
          </w:tcPr>
          <w:p>
            <w:r>
              <w:rPr>
                <w:rFonts w:ascii="Calibri" w:hAnsi="Calibri"/>
              </w:rPr>
              <w:t>Formal document defining HR service offerings and SLA turnaround times.</w:t>
            </w:r>
          </w:p>
        </w:tc>
      </w:tr>
      <w:tr>
        <w:tc>
          <w:tcPr>
            <w:tcW w:type="dxa" w:w="864"/>
            <w:tcMar>
              <w:top w:w="60" w:type="dxa"/>
              <w:bottom w:w="60" w:type="dxa"/>
              <w:left w:w="80" w:type="dxa"/>
              <w:right w:w="80" w:type="dxa"/>
            </w:tcMar>
          </w:tcPr>
          <w:p>
            <w:r>
              <w:rPr>
                <w:rFonts w:ascii="Calibri" w:hAnsi="Calibri"/>
              </w:rPr>
              <w:t>Q13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Algorithmic bias and unfair discrimination</w:t>
            </w:r>
          </w:p>
        </w:tc>
        <w:tc>
          <w:tcPr>
            <w:tcW w:type="dxa" w:w="4320"/>
            <w:tcMar>
              <w:top w:w="60" w:type="dxa"/>
              <w:bottom w:w="60" w:type="dxa"/>
              <w:left w:w="80" w:type="dxa"/>
              <w:right w:w="80" w:type="dxa"/>
            </w:tcMar>
          </w:tcPr>
          <w:p>
            <w:r>
              <w:rPr>
                <w:rFonts w:ascii="Calibri" w:hAnsi="Calibri"/>
              </w:rPr>
              <w:t>Ethical analytics requires auditing algorithms for bias.</w:t>
            </w:r>
          </w:p>
        </w:tc>
      </w:tr>
      <w:tr>
        <w:tc>
          <w:tcPr>
            <w:tcW w:type="dxa" w:w="864"/>
            <w:tcMar>
              <w:top w:w="60" w:type="dxa"/>
              <w:bottom w:w="60" w:type="dxa"/>
              <w:left w:w="80" w:type="dxa"/>
              <w:right w:w="80" w:type="dxa"/>
            </w:tcMar>
          </w:tcPr>
          <w:p>
            <w:r>
              <w:rPr>
                <w:rFonts w:ascii="Calibri" w:hAnsi="Calibri"/>
              </w:rPr>
              <w:t>14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Establishing a sense of urgency and communicating the 'Why' behind the change</w:t>
            </w:r>
          </w:p>
        </w:tc>
        <w:tc>
          <w:tcPr>
            <w:tcW w:type="dxa" w:w="4320"/>
            <w:tcMar>
              <w:top w:w="60" w:type="dxa"/>
              <w:bottom w:w="60" w:type="dxa"/>
              <w:left w:w="80" w:type="dxa"/>
              <w:right w:w="80" w:type="dxa"/>
            </w:tcMar>
          </w:tcPr>
          <w:p>
            <w:r>
              <w:rPr>
                <w:rFonts w:ascii="Calibri" w:hAnsi="Calibri"/>
              </w:rPr>
              <w:t>Kotter's 1st step in change management.</w:t>
            </w:r>
          </w:p>
        </w:tc>
      </w:tr>
      <w:tr>
        <w:tc>
          <w:tcPr>
            <w:tcW w:type="dxa" w:w="864"/>
            <w:tcMar>
              <w:top w:w="60" w:type="dxa"/>
              <w:bottom w:w="60" w:type="dxa"/>
              <w:left w:w="80" w:type="dxa"/>
              <w:right w:w="80" w:type="dxa"/>
            </w:tcMar>
          </w:tcPr>
          <w:p>
            <w:r>
              <w:rPr>
                <w:rFonts w:ascii="Calibri" w:hAnsi="Calibri"/>
              </w:rPr>
              <w:t>Q15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Cost Per Hire</w:t>
            </w:r>
          </w:p>
        </w:tc>
        <w:tc>
          <w:tcPr>
            <w:tcW w:type="dxa" w:w="4320"/>
            <w:tcMar>
              <w:top w:w="60" w:type="dxa"/>
              <w:bottom w:w="60" w:type="dxa"/>
              <w:left w:w="80" w:type="dxa"/>
              <w:right w:w="80" w:type="dxa"/>
            </w:tcMar>
          </w:tcPr>
          <w:p>
            <w:r>
              <w:rPr>
                <w:rFonts w:ascii="Calibri" w:hAnsi="Calibri"/>
              </w:rPr>
              <w:t>Recruitment service delivery cost-efficiency metric.</w:t>
            </w:r>
          </w:p>
        </w:tc>
      </w:tr>
    </w:tbl>
    <w:p>
      <w:pPr>
        <w:spacing w:after="240"/>
      </w:pPr>
    </w:p>
    <w:p>
      <w:pPr>
        <w:keepNext/>
        <w:spacing w:before="320" w:after="120"/>
      </w:pPr>
      <w:r>
        <w:rPr>
          <w:rFonts w:ascii="Arial" w:hAnsi="Arial"/>
          <w:b/>
          <w:color w:val="006666"/>
          <w:sz w:val="32"/>
        </w:rPr>
        <w:t>SECTION 3: SECTION B - TRUE / FALSE MARKING MEMO (20 MARKS)</w:t>
      </w:r>
    </w:p>
    <w:p>
      <w:pPr>
        <w:keepNext/>
        <w:spacing w:after="40"/>
      </w:pPr>
      <w:r>
        <w:rPr>
          <w:rFonts w:ascii="Calibri" w:hAnsi="Calibri"/>
          <w:b/>
          <w:sz w:val="21"/>
        </w:rPr>
        <w:t>Statement 1: FALSE</w:t>
      </w:r>
    </w:p>
    <w:p>
      <w:pPr>
        <w:spacing w:after="120"/>
        <w:ind w:left="288"/>
      </w:pPr>
      <w:r>
        <w:rPr>
          <w:rFonts w:ascii="Calibri" w:hAnsi="Calibri"/>
          <w:sz w:val="19"/>
        </w:rPr>
        <w:t>Marking Key: 1 Mark for Status + 3 Marks for Justification.</w:t>
        <w:br/>
        <w:t>Model Rationale: In a Multi-Tiered HR Service Delivery Model, Tier 1 is an internal Shared Services Center handling routine high-volume queries via portals/call centers. Tier 2 consists of internal Centers of Excellence specialists, and Tier 3 consists of HR Business Partners working strategically with business units. It does not rely entirely on external third-party consultants.</w:t>
      </w:r>
    </w:p>
    <w:p>
      <w:pPr>
        <w:keepNext/>
        <w:spacing w:after="40"/>
      </w:pPr>
      <w:r>
        <w:rPr>
          <w:rFonts w:ascii="Calibri" w:hAnsi="Calibri"/>
          <w:b/>
          <w:sz w:val="21"/>
        </w:rPr>
        <w:t>Statement 2: FALSE</w:t>
      </w:r>
    </w:p>
    <w:p>
      <w:pPr>
        <w:spacing w:after="120"/>
        <w:ind w:left="288"/>
      </w:pPr>
      <w:r>
        <w:rPr>
          <w:rFonts w:ascii="Calibri" w:hAnsi="Calibri"/>
          <w:sz w:val="19"/>
        </w:rPr>
        <w:t>Marking Key: 1 Mark for Status + 3 Marks for Justification.</w:t>
        <w:br/>
        <w:t>Model Rationale: Under the Protection of Personal Information Act (POPIA), processing or selling employee personal data to third parties for unauthorized commercial purposes without explicit, informed consent is an illegal statutory violation carrying severe legal and financial penalties.</w:t>
      </w:r>
    </w:p>
    <w:p>
      <w:pPr>
        <w:keepNext/>
        <w:spacing w:after="40"/>
      </w:pPr>
      <w:r>
        <w:rPr>
          <w:rFonts w:ascii="Calibri" w:hAnsi="Calibri"/>
          <w:b/>
          <w:sz w:val="21"/>
        </w:rPr>
        <w:t>Statement 3: TRUE</w:t>
      </w:r>
    </w:p>
    <w:p>
      <w:pPr>
        <w:spacing w:after="120"/>
        <w:ind w:left="288"/>
      </w:pPr>
      <w:r>
        <w:rPr>
          <w:rFonts w:ascii="Calibri" w:hAnsi="Calibri"/>
          <w:sz w:val="19"/>
        </w:rPr>
        <w:t>Marking Key: 1 Mark for Status + 3 Marks for Justification.</w:t>
        <w:br/>
        <w:t>Model Rationale: Effective management of HR technology SLAs requires defining measurable key performance indicators (such as uptime percentages, response/resolution times, data backup protocols) and conducting regular vendor performance audits to ensure contract compliance.</w:t>
      </w:r>
    </w:p>
    <w:p>
      <w:pPr>
        <w:keepNext/>
        <w:spacing w:after="40"/>
      </w:pPr>
      <w:r>
        <w:rPr>
          <w:rFonts w:ascii="Calibri" w:hAnsi="Calibri"/>
          <w:b/>
          <w:sz w:val="21"/>
        </w:rPr>
        <w:t>Statement 4: FALSE</w:t>
      </w:r>
    </w:p>
    <w:p>
      <w:pPr>
        <w:spacing w:after="120"/>
        <w:ind w:left="288"/>
      </w:pPr>
      <w:r>
        <w:rPr>
          <w:rFonts w:ascii="Calibri" w:hAnsi="Calibri"/>
          <w:sz w:val="19"/>
        </w:rPr>
        <w:t>Marking Key: 1 Mark for Status + 3 Marks for Justification.</w:t>
        <w:br/>
        <w:t>Model Rationale: An HR Service Delivery Charter is a vital operational document that outlines HR service offerings, quality standards, turn-around times, and escalation channels. It sets clear expectations for line managers and employees, enhancing accountability and transparency.</w:t>
      </w:r>
    </w:p>
    <w:p>
      <w:pPr>
        <w:keepNext/>
        <w:spacing w:after="40"/>
      </w:pPr>
      <w:r>
        <w:rPr>
          <w:rFonts w:ascii="Calibri" w:hAnsi="Calibri"/>
          <w:b/>
          <w:sz w:val="21"/>
        </w:rPr>
        <w:t>Statement 5: TRUE</w:t>
      </w:r>
    </w:p>
    <w:p>
      <w:pPr>
        <w:spacing w:after="120"/>
        <w:ind w:left="288"/>
      </w:pPr>
      <w:r>
        <w:rPr>
          <w:rFonts w:ascii="Calibri" w:hAnsi="Calibri"/>
          <w:sz w:val="19"/>
        </w:rPr>
        <w:t>Marking Key: 1 Mark for Status + 3 Marks for Justification.</w:t>
        <w:br/>
        <w:t>Model Rationale: Transforming HR into a strategic value-adding partner requires shifting from administrative processing to aligning people management practices, talent acquisition, and performance systems directly with the organization's strategic business goals.</w:t>
      </w:r>
    </w:p>
    <w:p>
      <w:pPr>
        <w:spacing w:after="240"/>
      </w:pPr>
    </w:p>
    <w:p>
      <w:pPr>
        <w:keepNext/>
        <w:spacing w:before="320" w:after="120"/>
      </w:pPr>
      <w:r>
        <w:rPr>
          <w:rFonts w:ascii="Arial" w:hAnsi="Arial"/>
          <w:b/>
          <w:color w:val="006666"/>
          <w:sz w:val="32"/>
        </w:rPr>
        <w:t>SECTION 4: SECTION C - SHORT QUESTIONS MARKING MEMO (15 MARKS)</w:t>
      </w:r>
    </w:p>
    <w:p>
      <w:pPr>
        <w:keepNext/>
        <w:spacing w:after="40"/>
      </w:pPr>
      <w:r>
        <w:rPr>
          <w:rFonts w:ascii="Calibri" w:hAnsi="Calibri"/>
          <w:b/>
          <w:sz w:val="21"/>
        </w:rPr>
        <w:t>Q1 Model Answer (Root Cause Analysis - 5 Whys Technique)</w:t>
      </w:r>
    </w:p>
    <w:p>
      <w:pPr>
        <w:spacing w:after="120"/>
        <w:ind w:left="288"/>
      </w:pPr>
      <w:r>
        <w:rPr>
          <w:rFonts w:ascii="Calibri" w:hAnsi="Calibri"/>
          <w:sz w:val="19"/>
        </w:rPr>
        <w:t>Model Answer Criteria (Award 1 Mark per causal step clearly articulated):</w:t>
        <w:br/>
        <w:t>• Symptom: 28% turnover and 61% CSAT in CSD.</w:t>
        <w:br/>
        <w:t>• Why 1?: Consultants experience extreme burnout and low morale.</w:t>
        <w:br/>
        <w:t>• Why 2?: Daily quotas (80 tickets) are unachievable, and Team Leaders C/D use punitive public shaming.</w:t>
        <w:br/>
        <w:t>• Why 3?: Software updates added 4 extra screens per call, doubling handle time without quota adjustment.</w:t>
        <w:br/>
        <w:t>• Why 4?: Quotas were not recalibrated during software rollout, and Team Leaders lack coaching skills.</w:t>
        <w:br/>
        <w:t>• Root Cause (Why 5): Absence of cross-departmental change management and supervisory capability building.</w:t>
      </w:r>
    </w:p>
    <w:p>
      <w:pPr>
        <w:keepNext/>
        <w:spacing w:after="40"/>
      </w:pPr>
      <w:r>
        <w:rPr>
          <w:rFonts w:ascii="Calibri" w:hAnsi="Calibri"/>
          <w:b/>
          <w:sz w:val="21"/>
        </w:rPr>
        <w:t>Q2 Model Answer (HR Technology &amp; SLA Contract Management)</w:t>
      </w:r>
    </w:p>
    <w:p>
      <w:pPr>
        <w:spacing w:after="120"/>
        <w:ind w:left="288"/>
      </w:pPr>
      <w:r>
        <w:rPr>
          <w:rFonts w:ascii="Calibri" w:hAnsi="Calibri"/>
          <w:sz w:val="19"/>
        </w:rPr>
        <w:t>Model Answer Criteria (Award 1.67 Marks per step fully detailed):</w:t>
        <w:br/>
        <w:t>1. Contract &amp; SLA Audit: Review vendor contract terms and SLA response/resolution metrics to verify if software workflow complexity breached agreed operational performance parameters.</w:t>
        <w:br/>
        <w:t>2. Vendor Remediation &amp; Workflow Optimization: Engage the IT vendor to streamline screen navigation, reduce system lag, and optimize user interface (UI) tabs.</w:t>
        <w:br/>
        <w:t>3. SLA Recalibration &amp; Governance: Re-negotiate SLA terms to include user experience (UX) performance benchmarks and mandatory vendor support during system changes.</w:t>
      </w:r>
    </w:p>
    <w:p>
      <w:pPr>
        <w:keepNext/>
        <w:spacing w:after="40"/>
      </w:pPr>
      <w:r>
        <w:rPr>
          <w:rFonts w:ascii="Calibri" w:hAnsi="Calibri"/>
          <w:b/>
          <w:sz w:val="21"/>
        </w:rPr>
        <w:t>Q3 Model Answer (Client Engagement &amp; Stakeholder Empathy)</w:t>
      </w:r>
    </w:p>
    <w:p>
      <w:pPr>
        <w:spacing w:after="120"/>
        <w:ind w:left="288"/>
      </w:pPr>
      <w:r>
        <w:rPr>
          <w:rFonts w:ascii="Calibri" w:hAnsi="Calibri"/>
          <w:sz w:val="19"/>
        </w:rPr>
        <w:t>Model Answer Criteria (Award 1.67 Marks per element fully detailed):</w:t>
        <w:br/>
        <w:t>• Distinction: Line Manager requested a quick '1-day conflict workshop' (symptom fix). HR discovered deeper systemic issues: unachievable quotas, software complexity, and poor supervisory leadership.</w:t>
        <w:br/>
        <w:t>• Client Focus &amp; Active Listening (AK0101, AK0102): HR listens actively to managerial frustration while gathering objective operational data from consultants.</w:t>
        <w:br/>
        <w:t>• Empathy &amp; Strategic Guidance (AK0107, PS0104): HR empathizes with workload strain and gently re-orients line management toward a 3-tier holistic recovery plan rather than a superficial workshop.</w:t>
      </w:r>
    </w:p>
    <w:p>
      <w:pPr>
        <w:spacing w:after="240"/>
      </w:pPr>
    </w:p>
    <w:p>
      <w:pPr>
        <w:keepNext/>
        <w:spacing w:before="320" w:after="120"/>
      </w:pPr>
      <w:r>
        <w:rPr>
          <w:rFonts w:ascii="Arial" w:hAnsi="Arial"/>
          <w:b/>
          <w:color w:val="006666"/>
          <w:sz w:val="32"/>
        </w:rPr>
        <w:t>SECTION 5: SECTION D - COMPREHENSIVE RUBRIC &amp; MODEL ANSWERS (50 MARKS)</w:t>
      </w:r>
    </w:p>
    <w:tbl>
      <w:tblPr>
        <w:tblW w:type="auto" w:w="0"/>
        <w:jc w:val="center"/>
        <w:tblLook w:firstColumn="1" w:firstRow="1" w:lastColumn="0" w:lastRow="0" w:noHBand="0" w:noVBand="1" w:val="04A0"/>
      </w:tblPr>
      <w:tblGrid>
        <w:gridCol w:w="3120"/>
        <w:gridCol w:w="3120"/>
        <w:gridCol w:w="3120"/>
      </w:tblGrid>
      <w:tr>
        <w:tc>
          <w:tcPr>
            <w:tcW w:type="dxa" w:w="2592"/>
            <w:shd w:fill="006666"/>
          </w:tcPr>
          <w:p>
            <w:r>
              <w:rPr>
                <w:color w:val="FFFFFF"/>
              </w:rPr>
              <w:t>Sub-Section &amp; Focus</w:t>
            </w:r>
          </w:p>
        </w:tc>
        <w:tc>
          <w:tcPr>
            <w:tcW w:type="dxa" w:w="1440"/>
            <w:shd w:fill="006666"/>
          </w:tcPr>
          <w:p>
            <w:r>
              <w:rPr>
                <w:color w:val="FFFFFF"/>
              </w:rPr>
              <w:t>Marks</w:t>
            </w:r>
          </w:p>
        </w:tc>
        <w:tc>
          <w:tcPr>
            <w:tcW w:type="dxa" w:w="5328"/>
            <w:shd w:fill="006666"/>
          </w:tcPr>
          <w:p>
            <w:r>
              <w:rPr>
                <w:color w:val="FFFFFF"/>
              </w:rPr>
              <w:t>Assessment Criteria &amp; Expected Depth</w:t>
            </w:r>
          </w:p>
        </w:tc>
      </w:tr>
      <w:tr>
        <w:tc>
          <w:tcPr>
            <w:tcW w:type="dxa" w:w="2592"/>
          </w:tcPr>
          <w:p>
            <w:r>
              <w:rPr>
                <w:rFonts w:ascii="Calibri" w:hAnsi="Calibri"/>
                <w:b/>
              </w:rPr>
              <w:t>D1: Operational Diagnostic &amp; 3-Tier Recovery Framework</w:t>
            </w:r>
          </w:p>
        </w:tc>
        <w:tc>
          <w:tcPr>
            <w:tcW w:type="dxa" w:w="1440"/>
          </w:tcPr>
          <w:p>
            <w:r>
              <w:rPr>
                <w:rFonts w:ascii="Calibri" w:hAnsi="Calibri"/>
                <w:b/>
              </w:rPr>
              <w:t>13 Marks</w:t>
            </w:r>
          </w:p>
        </w:tc>
        <w:tc>
          <w:tcPr>
            <w:tcW w:type="dxa" w:w="5328"/>
          </w:tcPr>
          <w:p>
            <w:r>
              <w:rPr>
                <w:rFonts w:ascii="Calibri" w:hAnsi="Calibri"/>
              </w:rPr>
              <w:t>• Quantitative variance table comparing target vs Q3 metrics (Turnover, Absenteeism, CSAT, FCR) (3m)</w:t>
              <w:br/>
              <w:t>• Qualitative synthesis of exit surveys and focus group findings across 4 teams (3m)</w:t>
              <w:br/>
              <w:t>• Detailed 3-Tier Recovery Framework (Workload/Systems, Leadership Coaching, Career Pathing) (4m)</w:t>
              <w:br/>
              <w:t>• Financial justification demonstrating turnover cost reduction and ROI (3m)</w:t>
            </w:r>
          </w:p>
        </w:tc>
      </w:tr>
      <w:tr>
        <w:tc>
          <w:tcPr>
            <w:tcW w:type="dxa" w:w="2592"/>
          </w:tcPr>
          <w:p>
            <w:r>
              <w:rPr>
                <w:rFonts w:ascii="Calibri" w:hAnsi="Calibri"/>
                <w:b/>
              </w:rPr>
              <w:t>D2: Change Management, Kotter's Model &amp; Stakeholder Strategy</w:t>
            </w:r>
          </w:p>
        </w:tc>
        <w:tc>
          <w:tcPr>
            <w:tcW w:type="dxa" w:w="1440"/>
          </w:tcPr>
          <w:p>
            <w:r>
              <w:rPr>
                <w:rFonts w:ascii="Calibri" w:hAnsi="Calibri"/>
                <w:b/>
              </w:rPr>
              <w:t>13 Marks</w:t>
            </w:r>
          </w:p>
        </w:tc>
        <w:tc>
          <w:tcPr>
            <w:tcW w:type="dxa" w:w="5328"/>
          </w:tcPr>
          <w:p>
            <w:r>
              <w:rPr>
                <w:rFonts w:ascii="Calibri" w:hAnsi="Calibri"/>
              </w:rPr>
              <w:t>• Operationalising Kotter's 8-Step Change Framework for CSD recovery (4m)</w:t>
              <w:br/>
              <w:t>• Tailored stakeholder communication matrix (Execs, Line Mgrs, Team Leaders, Union) (3m)</w:t>
              <w:br/>
              <w:t>• Proactive risk mitigation strategy (AK0108) addressing burnout &amp; shaming (3m)</w:t>
              <w:br/>
              <w:t>• Communication channels ensuring operational transparency (3m)</w:t>
            </w:r>
          </w:p>
        </w:tc>
      </w:tr>
      <w:tr>
        <w:tc>
          <w:tcPr>
            <w:tcW w:type="dxa" w:w="2592"/>
          </w:tcPr>
          <w:p>
            <w:r>
              <w:rPr>
                <w:rFonts w:ascii="Calibri" w:hAnsi="Calibri"/>
                <w:b/>
              </w:rPr>
              <w:t>D3: Ethical People Analytics, POPIA Governance &amp; Service Model</w:t>
            </w:r>
          </w:p>
        </w:tc>
        <w:tc>
          <w:tcPr>
            <w:tcW w:type="dxa" w:w="1440"/>
          </w:tcPr>
          <w:p>
            <w:r>
              <w:rPr>
                <w:rFonts w:ascii="Calibri" w:hAnsi="Calibri"/>
                <w:b/>
              </w:rPr>
              <w:t>12 Marks</w:t>
            </w:r>
          </w:p>
        </w:tc>
        <w:tc>
          <w:tcPr>
            <w:tcW w:type="dxa" w:w="5328"/>
          </w:tcPr>
          <w:p>
            <w:r>
              <w:rPr>
                <w:rFonts w:ascii="Calibri" w:hAnsi="Calibri"/>
              </w:rPr>
              <w:t>• Selecting and justifying appropriate HR Service Delivery Model (Multi-Tiered/Shared Services) (3m)</w:t>
              <w:br/>
              <w:t>• Ethical People Analytics framework ensuring POPIA compliance &amp; data minimization (3m)</w:t>
              <w:br/>
              <w:t>• HR Service Delivery Charter with SLA response standards (3m)</w:t>
              <w:br/>
              <w:t>• Data security &amp; confidential handling of pulse survey feedback (3m)</w:t>
            </w:r>
          </w:p>
        </w:tc>
      </w:tr>
      <w:tr>
        <w:tc>
          <w:tcPr>
            <w:tcW w:type="dxa" w:w="2592"/>
          </w:tcPr>
          <w:p>
            <w:r>
              <w:rPr>
                <w:rFonts w:ascii="Calibri" w:hAnsi="Calibri"/>
                <w:b/>
              </w:rPr>
              <w:t>D4: Continuous Improvement, Metrics &amp; Executive Decision Presentation</w:t>
            </w:r>
          </w:p>
        </w:tc>
        <w:tc>
          <w:tcPr>
            <w:tcW w:type="dxa" w:w="1440"/>
          </w:tcPr>
          <w:p>
            <w:r>
              <w:rPr>
                <w:rFonts w:ascii="Calibri" w:hAnsi="Calibri"/>
                <w:b/>
              </w:rPr>
              <w:t>12 Marks</w:t>
            </w:r>
          </w:p>
        </w:tc>
        <w:tc>
          <w:tcPr>
            <w:tcW w:type="dxa" w:w="5328"/>
          </w:tcPr>
          <w:p>
            <w:r>
              <w:rPr>
                <w:rFonts w:ascii="Calibri" w:hAnsi="Calibri"/>
              </w:rPr>
              <w:t>• Defining 5 core HR Service Delivery KPIs with target benchmarks (4m)</w:t>
              <w:br/>
              <w:t>• Bi-weekly pulse survey feedback loop &amp; monthly SLA review protocol (3m)</w:t>
              <w:br/>
              <w:t>• Executive Presentation Deck structure tailored for COO, Finance, Union (3m)</w:t>
              <w:br/>
              <w:t>• Actionable executive recommendation list requiring immediate sign-off (2m)</w:t>
            </w:r>
          </w:p>
        </w:tc>
      </w:tr>
    </w:tbl>
    <w:p>
      <w:pPr>
        <w:spacing w:after="280"/>
      </w:pPr>
    </w:p>
    <w:p>
      <w:pPr>
        <w:keepNext/>
        <w:spacing w:before="320" w:after="120"/>
      </w:pPr>
      <w:r>
        <w:rPr>
          <w:rFonts w:ascii="Arial" w:hAnsi="Arial"/>
          <w:b/>
          <w:color w:val="006666"/>
          <w:sz w:val="32"/>
        </w:rPr>
        <w:t>SECTION 6: ASSESSOR RESULT SUMMARY &amp; RECORDING FORM</w:t>
      </w:r>
    </w:p>
    <w:tbl>
      <w:tblPr>
        <w:tblW w:type="auto" w:w="0"/>
        <w:jc w:val="center"/>
        <w:tblLook w:firstColumn="1" w:firstRow="1" w:lastColumn="0" w:lastRow="0" w:noHBand="0" w:noVBand="1" w:val="04A0"/>
      </w:tblPr>
      <w:tblGrid>
        <w:gridCol w:w="2340"/>
        <w:gridCol w:w="2340"/>
        <w:gridCol w:w="2340"/>
        <w:gridCol w:w="2340"/>
      </w:tblGrid>
      <w:tr>
        <w:tc>
          <w:tcPr>
            <w:tcW w:type="dxa" w:w="3600"/>
            <w:shd w:fill="006666"/>
          </w:tcPr>
          <w:p>
            <w:pPr>
              <w:spacing w:after="0"/>
            </w:pPr>
            <w:r>
              <w:rPr>
                <w:rFonts w:ascii="Arial" w:hAnsi="Arial"/>
                <w:b/>
                <w:color w:val="FFFFFF"/>
                <w:sz w:val="18"/>
              </w:rPr>
              <w:t>Assessment Section</w:t>
            </w:r>
          </w:p>
        </w:tc>
        <w:tc>
          <w:tcPr>
            <w:tcW w:type="dxa" w:w="1728"/>
            <w:shd w:fill="006666"/>
          </w:tcPr>
          <w:p>
            <w:pPr>
              <w:spacing w:after="0"/>
            </w:pPr>
            <w:r>
              <w:rPr>
                <w:rFonts w:ascii="Arial" w:hAnsi="Arial"/>
                <w:b/>
                <w:color w:val="FFFFFF"/>
                <w:sz w:val="18"/>
              </w:rPr>
              <w:t>Total Marks</w:t>
            </w:r>
          </w:p>
        </w:tc>
        <w:tc>
          <w:tcPr>
            <w:tcW w:type="dxa" w:w="1728"/>
            <w:shd w:fill="006666"/>
          </w:tcPr>
          <w:p>
            <w:pPr>
              <w:spacing w:after="0"/>
            </w:pPr>
            <w:r>
              <w:rPr>
                <w:rFonts w:ascii="Arial" w:hAnsi="Arial"/>
                <w:b/>
                <w:color w:val="FFFFFF"/>
                <w:sz w:val="18"/>
              </w:rPr>
              <w:t>Learner Score</w:t>
            </w:r>
          </w:p>
        </w:tc>
        <w:tc>
          <w:tcPr>
            <w:tcW w:type="dxa" w:w="2304"/>
            <w:shd w:fill="006666"/>
          </w:tcPr>
          <w:p>
            <w:pPr>
              <w:spacing w:after="0"/>
            </w:pPr>
            <w:r>
              <w:rPr>
                <w:rFonts w:ascii="Arial" w:hAnsi="Arial"/>
                <w:b/>
                <w:color w:val="FFFFFF"/>
                <w:sz w:val="18"/>
              </w:rPr>
              <w:t>Result (C / NYC)</w:t>
            </w:r>
          </w:p>
        </w:tc>
      </w:tr>
      <w:tr>
        <w:tc>
          <w:tcPr>
            <w:tcW w:type="dxa" w:w="3600"/>
            <w:tcMar>
              <w:top w:w="60" w:type="dxa"/>
              <w:bottom w:w="60" w:type="dxa"/>
              <w:left w:w="80" w:type="dxa"/>
              <w:right w:w="80" w:type="dxa"/>
            </w:tcMar>
          </w:tcPr>
          <w:p>
            <w:r>
              <w:rPr>
                <w:rFonts w:ascii="Calibri" w:hAnsi="Calibri"/>
                <w:b w:val="0"/>
              </w:rPr>
              <w:t>Section A: Multiple Choice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B: True / False with Justification</w:t>
            </w:r>
          </w:p>
        </w:tc>
        <w:tc>
          <w:tcPr>
            <w:tcW w:type="dxa" w:w="1728"/>
            <w:tcMar>
              <w:top w:w="60" w:type="dxa"/>
              <w:bottom w:w="60" w:type="dxa"/>
              <w:left w:w="80" w:type="dxa"/>
              <w:right w:w="80" w:type="dxa"/>
            </w:tcMar>
          </w:tcPr>
          <w:p>
            <w:r>
              <w:rPr>
                <w:rFonts w:ascii="Calibri" w:hAnsi="Calibri"/>
                <w:b w:val="0"/>
              </w:rPr>
              <w:t>20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C: Scenario Short Questions (Apex CSD)</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D: Strategic Long Question (4 Sub-sections)</w:t>
            </w:r>
          </w:p>
        </w:tc>
        <w:tc>
          <w:tcPr>
            <w:tcW w:type="dxa" w:w="1728"/>
            <w:tcMar>
              <w:top w:w="60" w:type="dxa"/>
              <w:bottom w:w="60" w:type="dxa"/>
              <w:left w:w="80" w:type="dxa"/>
              <w:right w:w="80" w:type="dxa"/>
            </w:tcMar>
          </w:tcPr>
          <w:p>
            <w:r>
              <w:rPr>
                <w:rFonts w:ascii="Calibri" w:hAnsi="Calibri"/>
                <w:b w:val="0"/>
              </w:rPr>
              <w:t>50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TOTAL OVERALL SCORE</w:t>
            </w:r>
          </w:p>
        </w:tc>
        <w:tc>
          <w:tcPr>
            <w:tcW w:type="dxa" w:w="1728"/>
            <w:tcMar>
              <w:top w:w="60" w:type="dxa"/>
              <w:bottom w:w="60" w:type="dxa"/>
              <w:left w:w="80" w:type="dxa"/>
              <w:right w:w="80" w:type="dxa"/>
            </w:tcMar>
          </w:tcPr>
          <w:p>
            <w:r>
              <w:rPr>
                <w:rFonts w:ascii="Calibri" w:hAnsi="Calibri"/>
                <w:b/>
              </w:rPr>
              <w:t>100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bl>
    <w:p>
      <w:pPr>
        <w:spacing w:after="200"/>
      </w:pPr>
    </w:p>
    <w:p>
      <w:pPr>
        <w:keepNext/>
        <w:spacing w:before="240" w:after="80"/>
      </w:pPr>
      <w:r>
        <w:rPr>
          <w:rFonts w:ascii="Arial" w:hAnsi="Arial"/>
          <w:b/>
          <w:color w:val="008080"/>
          <w:sz w:val="26"/>
        </w:rPr>
        <w:t>CONSTRUCTIVE ASSESSOR FEEDBACK &amp; MODERATION NOTES:</w:t>
      </w:r>
    </w:p>
    <w:p>
      <w:pPr>
        <w:spacing w:after="240"/>
      </w:pPr>
      <w:r>
        <w:rPr>
          <w:rFonts w:ascii="Calibri" w:hAnsi="Calibri"/>
          <w:color w:val="969696"/>
          <w:sz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rFonts w:ascii="Calibri" w:hAnsi="Calibri"/>
              </w:rPr>
              <w:t>Assessor Signature: ______________________</w:t>
            </w:r>
          </w:p>
        </w:tc>
        <w:tc>
          <w:tcPr>
            <w:tcW w:type="dxa" w:w="4680"/>
            <w:tcMar>
              <w:top w:w="60" w:type="dxa"/>
              <w:bottom w:w="60" w:type="dxa"/>
              <w:left w:w="80" w:type="dxa"/>
              <w:right w:w="80" w:type="dxa"/>
            </w:tcMar>
          </w:tcPr>
          <w:p>
            <w:r>
              <w:rPr>
                <w:rFonts w:ascii="Calibri" w:hAnsi="Calibri"/>
              </w:rPr>
              <w:t>Date: ________________________</w:t>
            </w:r>
          </w:p>
        </w:tc>
      </w:tr>
      <w:tr>
        <w:tc>
          <w:tcPr>
            <w:tcW w:type="dxa" w:w="4680"/>
            <w:tcMar>
              <w:top w:w="60" w:type="dxa"/>
              <w:bottom w:w="60" w:type="dxa"/>
              <w:left w:w="80" w:type="dxa"/>
              <w:right w:w="80" w:type="dxa"/>
            </w:tcMar>
          </w:tcPr>
          <w:p>
            <w:r>
              <w:rPr>
                <w:rFonts w:ascii="Calibri" w:hAnsi="Calibri"/>
              </w:rPr>
              <w:t>Moderator Signature: ____________________</w:t>
            </w:r>
          </w:p>
        </w:tc>
        <w:tc>
          <w:tcPr>
            <w:tcW w:type="dxa" w:w="4680"/>
            <w:tcMar>
              <w:top w:w="60" w:type="dxa"/>
              <w:bottom w:w="60" w:type="dxa"/>
              <w:left w:w="80" w:type="dxa"/>
              <w:right w:w="80" w:type="dxa"/>
            </w:tcMar>
          </w:tcPr>
          <w:p>
            <w:r>
              <w:rPr>
                <w:rFonts w:ascii="Calibri" w:hAnsi="Calibri"/>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