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3168"/>
            <w:shd w:fill="006666"/>
            <w:tcMar>
              <w:top w:w="80" w:type="dxa"/>
              <w:bottom w:w="80" w:type="dxa"/>
              <w:left w:w="120" w:type="dxa"/>
              <w:right w:w="120" w:type="dxa"/>
            </w:tcMar>
          </w:tcPr>
          <w:p>
            <w:pPr>
              <w:spacing w:after="0"/>
            </w:pPr>
            <w:r>
              <w:rPr>
                <w:rFonts w:ascii="Arial" w:hAnsi="Arial"/>
                <w:b/>
                <w:color w:val="FFFFFF"/>
                <w:sz w:val="19"/>
              </w:rPr>
              <w:t>INSTITUTION:</w:t>
            </w:r>
          </w:p>
        </w:tc>
        <w:tc>
          <w:tcPr>
            <w:tcW w:type="dxa" w:w="6192"/>
            <w:shd w:fill="E6F2F2"/>
            <w:tcMar>
              <w:top w:w="80" w:type="dxa"/>
              <w:bottom w:w="80" w:type="dxa"/>
              <w:left w:w="120" w:type="dxa"/>
              <w:right w:w="120" w:type="dxa"/>
            </w:tcMar>
          </w:tcPr>
          <w:p>
            <w:pPr>
              <w:spacing w:after="0"/>
            </w:pPr>
            <w:r>
              <w:rPr>
                <w:rFonts w:ascii="Calibri" w:hAnsi="Calibri"/>
                <w:b/>
                <w:color w:val="222222"/>
                <w:sz w:val="20"/>
              </w:rPr>
              <w:t>CURIOSA ACADEMY</w:t>
            </w:r>
          </w:p>
        </w:tc>
      </w:tr>
      <w:tr>
        <w:tc>
          <w:tcPr>
            <w:tcW w:type="dxa" w:w="3168"/>
            <w:shd w:fill="006666"/>
            <w:tcMar>
              <w:top w:w="80" w:type="dxa"/>
              <w:bottom w:w="80" w:type="dxa"/>
              <w:left w:w="120" w:type="dxa"/>
              <w:right w:w="120" w:type="dxa"/>
            </w:tcMar>
          </w:tcPr>
          <w:p>
            <w:pPr>
              <w:spacing w:after="0"/>
            </w:pPr>
            <w:r>
              <w:rPr>
                <w:rFonts w:ascii="Arial" w:hAnsi="Arial"/>
                <w:b/>
                <w:color w:val="FFFFFF"/>
                <w:sz w:val="19"/>
              </w:rPr>
              <w:t>QUALIFICATION:</w:t>
            </w:r>
          </w:p>
        </w:tc>
        <w:tc>
          <w:tcPr>
            <w:tcW w:type="dxa" w:w="6192"/>
            <w:shd w:fill="E6F2F2"/>
            <w:tcMar>
              <w:top w:w="80" w:type="dxa"/>
              <w:bottom w:w="80" w:type="dxa"/>
              <w:left w:w="120" w:type="dxa"/>
              <w:right w:w="120" w:type="dxa"/>
            </w:tcMar>
          </w:tcPr>
          <w:p>
            <w:pPr>
              <w:spacing w:after="0"/>
            </w:pPr>
            <w:r>
              <w:rPr>
                <w:rFonts w:ascii="Calibri" w:hAnsi="Calibri"/>
                <w:b w:val="0"/>
                <w:color w:val="222222"/>
                <w:sz w:val="20"/>
              </w:rPr>
              <w:t>Advanced Occupational Certificate: Human Resource Management Officer (NQF Level 6, 134 Credits)</w:t>
            </w:r>
          </w:p>
        </w:tc>
      </w:tr>
      <w:tr>
        <w:tc>
          <w:tcPr>
            <w:tcW w:type="dxa" w:w="3168"/>
            <w:shd w:fill="006666"/>
            <w:tcMar>
              <w:top w:w="80" w:type="dxa"/>
              <w:bottom w:w="80" w:type="dxa"/>
              <w:left w:w="120" w:type="dxa"/>
              <w:right w:w="120" w:type="dxa"/>
            </w:tcMar>
          </w:tcPr>
          <w:p>
            <w:pPr>
              <w:spacing w:after="0"/>
            </w:pPr>
            <w:r>
              <w:rPr>
                <w:rFonts w:ascii="Arial" w:hAnsi="Arial"/>
                <w:b/>
                <w:color w:val="FFFFFF"/>
                <w:sz w:val="19"/>
              </w:rPr>
              <w:t>SAQA ID / CURRICULUM:</w:t>
            </w:r>
          </w:p>
        </w:tc>
        <w:tc>
          <w:tcPr>
            <w:tcW w:type="dxa" w:w="6192"/>
            <w:shd w:fill="E6F2F2"/>
            <w:tcMar>
              <w:top w:w="80" w:type="dxa"/>
              <w:bottom w:w="80" w:type="dxa"/>
              <w:left w:w="120" w:type="dxa"/>
              <w:right w:w="120" w:type="dxa"/>
            </w:tcMar>
          </w:tcPr>
          <w:p>
            <w:pPr>
              <w:spacing w:after="0"/>
            </w:pPr>
            <w:r>
              <w:rPr>
                <w:rFonts w:ascii="Calibri" w:hAnsi="Calibri"/>
                <w:b w:val="0"/>
                <w:color w:val="222222"/>
                <w:sz w:val="20"/>
              </w:rPr>
              <w:t>SAQA ID: 121151 | Curriculum Code: 242303-001-00-00</w:t>
            </w:r>
          </w:p>
        </w:tc>
      </w:tr>
      <w:tr>
        <w:tc>
          <w:tcPr>
            <w:tcW w:type="dxa" w:w="3168"/>
            <w:shd w:fill="006666"/>
            <w:tcMar>
              <w:top w:w="80" w:type="dxa"/>
              <w:bottom w:w="80" w:type="dxa"/>
              <w:left w:w="120" w:type="dxa"/>
              <w:right w:w="120" w:type="dxa"/>
            </w:tcMar>
          </w:tcPr>
          <w:p>
            <w:pPr>
              <w:spacing w:after="0"/>
            </w:pPr>
            <w:r>
              <w:rPr>
                <w:rFonts w:ascii="Arial" w:hAnsi="Arial"/>
                <w:b/>
                <w:color w:val="FFFFFF"/>
                <w:sz w:val="19"/>
              </w:rPr>
              <w:t>MODULES ASSESSED:</w:t>
            </w:r>
          </w:p>
        </w:tc>
        <w:tc>
          <w:tcPr>
            <w:tcW w:type="dxa" w:w="6192"/>
            <w:shd w:fill="E6F2F2"/>
            <w:tcMar>
              <w:top w:w="80" w:type="dxa"/>
              <w:bottom w:w="80" w:type="dxa"/>
              <w:left w:w="120" w:type="dxa"/>
              <w:right w:w="120" w:type="dxa"/>
            </w:tcMar>
          </w:tcPr>
          <w:p>
            <w:pPr>
              <w:spacing w:after="0"/>
            </w:pPr>
            <w:r>
              <w:rPr>
                <w:rFonts w:ascii="Calibri" w:hAnsi="Calibri"/>
                <w:b w:val="0"/>
                <w:color w:val="222222"/>
                <w:sz w:val="20"/>
              </w:rPr>
              <w:t>KM-05 (Delivering Human Resource Management Services, NQF L6, 7 Credits)</w:t>
              <w:br/>
              <w:t>PM-05 (Deliver HRM Services, NQF L6, 10 Credits)</w:t>
            </w:r>
          </w:p>
        </w:tc>
      </w:tr>
      <w:tr>
        <w:tc>
          <w:tcPr>
            <w:tcW w:type="dxa" w:w="3168"/>
            <w:shd w:fill="006666"/>
            <w:tcMar>
              <w:top w:w="80" w:type="dxa"/>
              <w:bottom w:w="80" w:type="dxa"/>
              <w:left w:w="120" w:type="dxa"/>
              <w:right w:w="120" w:type="dxa"/>
            </w:tcMar>
          </w:tcPr>
          <w:p>
            <w:pPr>
              <w:spacing w:after="0"/>
            </w:pPr>
            <w:r>
              <w:rPr>
                <w:rFonts w:ascii="Arial" w:hAnsi="Arial"/>
                <w:b/>
                <w:color w:val="FFFFFF"/>
                <w:sz w:val="19"/>
              </w:rPr>
              <w:t>ASSESSMENT TYPE:</w:t>
            </w:r>
          </w:p>
        </w:tc>
        <w:tc>
          <w:tcPr>
            <w:tcW w:type="dxa" w:w="6192"/>
            <w:shd w:fill="E6F2F2"/>
            <w:tcMar>
              <w:top w:w="80" w:type="dxa"/>
              <w:bottom w:w="80" w:type="dxa"/>
              <w:left w:w="120" w:type="dxa"/>
              <w:right w:w="120" w:type="dxa"/>
            </w:tcMar>
          </w:tcPr>
          <w:p>
            <w:pPr>
              <w:spacing w:after="0"/>
            </w:pPr>
            <w:r>
              <w:rPr>
                <w:rFonts w:ascii="Calibri" w:hAnsi="Calibri"/>
                <w:b/>
                <w:color w:val="222222"/>
                <w:sz w:val="20"/>
              </w:rPr>
              <w:t>Internal Summative Assessment Script (SU 5 - Version 1)</w:t>
            </w:r>
          </w:p>
        </w:tc>
      </w:tr>
      <w:tr>
        <w:tc>
          <w:tcPr>
            <w:tcW w:type="dxa" w:w="3168"/>
            <w:shd w:fill="006666"/>
            <w:tcMar>
              <w:top w:w="80" w:type="dxa"/>
              <w:bottom w:w="80" w:type="dxa"/>
              <w:left w:w="120" w:type="dxa"/>
              <w:right w:w="120" w:type="dxa"/>
            </w:tcMar>
          </w:tcPr>
          <w:p>
            <w:pPr>
              <w:spacing w:after="0"/>
            </w:pPr>
            <w:r>
              <w:rPr>
                <w:rFonts w:ascii="Arial" w:hAnsi="Arial"/>
                <w:b/>
                <w:color w:val="FFFFFF"/>
                <w:sz w:val="19"/>
              </w:rPr>
              <w:t>TOTAL MARKS &amp; TIME:</w:t>
            </w:r>
          </w:p>
        </w:tc>
        <w:tc>
          <w:tcPr>
            <w:tcW w:type="dxa" w:w="6192"/>
            <w:shd w:fill="E6F2F2"/>
            <w:tcMar>
              <w:top w:w="80" w:type="dxa"/>
              <w:bottom w:w="80" w:type="dxa"/>
              <w:left w:w="120" w:type="dxa"/>
              <w:right w:w="120" w:type="dxa"/>
            </w:tcMar>
          </w:tcPr>
          <w:p>
            <w:pPr>
              <w:spacing w:after="0"/>
            </w:pPr>
            <w:r>
              <w:rPr>
                <w:rFonts w:ascii="Calibri" w:hAnsi="Calibri"/>
                <w:b/>
                <w:color w:val="222222"/>
                <w:sz w:val="20"/>
              </w:rPr>
              <w:t>100 Marks | Pass Mark: 75% (75 Marks) | Duration: 2.5 Hours</w:t>
            </w:r>
          </w:p>
        </w:tc>
      </w:tr>
      <w:tr>
        <w:tc>
          <w:tcPr>
            <w:tcW w:type="dxa" w:w="3168"/>
            <w:shd w:fill="006666"/>
            <w:tcMar>
              <w:top w:w="80" w:type="dxa"/>
              <w:bottom w:w="80" w:type="dxa"/>
              <w:left w:w="120" w:type="dxa"/>
              <w:right w:w="120" w:type="dxa"/>
            </w:tcMar>
          </w:tcPr>
          <w:p>
            <w:pPr>
              <w:spacing w:after="0"/>
            </w:pPr>
            <w:r>
              <w:rPr>
                <w:rFonts w:ascii="Arial" w:hAnsi="Arial"/>
                <w:b/>
                <w:color w:val="FFFFFF"/>
                <w:sz w:val="19"/>
              </w:rPr>
              <w:t>LEARNER NAME &amp; ID:</w:t>
            </w:r>
          </w:p>
        </w:tc>
        <w:tc>
          <w:tcPr>
            <w:tcW w:type="dxa" w:w="6192"/>
            <w:shd w:fill="E6F2F2"/>
            <w:tcMar>
              <w:top w:w="80" w:type="dxa"/>
              <w:bottom w:w="80" w:type="dxa"/>
              <w:left w:w="120" w:type="dxa"/>
              <w:right w:w="120" w:type="dxa"/>
            </w:tcMar>
          </w:tcPr>
          <w:p>
            <w:pPr>
              <w:spacing w:after="0"/>
            </w:pPr>
            <w:r>
              <w:rPr>
                <w:rFonts w:ascii="Calibri" w:hAnsi="Calibri"/>
                <w:b w:val="0"/>
                <w:color w:val="222222"/>
                <w:sz w:val="20"/>
              </w:rPr>
            </w:r>
          </w:p>
        </w:tc>
      </w:tr>
    </w:tbl>
    <w:p>
      <w:pPr>
        <w:spacing w:after="200"/>
      </w:pPr>
    </w:p>
    <w:p>
      <w:pPr>
        <w:keepNext/>
        <w:spacing w:before="320" w:after="120"/>
      </w:pPr>
      <w:r>
        <w:rPr>
          <w:rFonts w:ascii="Arial" w:hAnsi="Arial"/>
          <w:b/>
          <w:color w:val="006666"/>
          <w:sz w:val="32"/>
        </w:rPr>
        <w:t>INSTRUCTIONS TO LEARNERS</w:t>
      </w:r>
    </w:p>
    <w:p>
      <w:pPr>
        <w:spacing w:after="60" w:line="276" w:lineRule="auto"/>
      </w:pPr>
      <w:r>
        <w:rPr>
          <w:rFonts w:ascii="Calibri" w:hAnsi="Calibri"/>
          <w:b w:val="0"/>
          <w:i w:val="0"/>
          <w:color w:val="222222"/>
          <w:sz w:val="22"/>
        </w:rPr>
        <w:t>1. Answer ALL questions in Section A, Section B, Section C, and Section D.</w:t>
      </w:r>
    </w:p>
    <w:p>
      <w:pPr>
        <w:spacing w:after="60" w:line="276" w:lineRule="auto"/>
      </w:pPr>
      <w:r>
        <w:rPr>
          <w:rFonts w:ascii="Calibri" w:hAnsi="Calibri"/>
          <w:b w:val="0"/>
          <w:i w:val="0"/>
          <w:color w:val="222222"/>
          <w:sz w:val="22"/>
        </w:rPr>
        <w:t>2. Structure &amp; Mark Breakdown: Section A (15 Multiple Choice Questions @ 1 Mark each = 15 Marks), Section B (5 True/False Questions with Justification @ 4 Marks each = 20 Marks), Section C (Scenario Short Questions = 15 Marks), and Section D (Scenario Strategic Long Question = 50 Marks). Total = 100 Marks.</w:t>
      </w:r>
    </w:p>
    <w:p>
      <w:pPr>
        <w:spacing w:after="60" w:line="276" w:lineRule="auto"/>
      </w:pPr>
      <w:r>
        <w:rPr>
          <w:rFonts w:ascii="Calibri" w:hAnsi="Calibri"/>
          <w:b w:val="0"/>
          <w:i w:val="0"/>
          <w:color w:val="222222"/>
          <w:sz w:val="22"/>
        </w:rPr>
        <w:t>3. Read the case study scenario in Section C &amp; D carefully before answering.</w:t>
      </w:r>
    </w:p>
    <w:p>
      <w:pPr>
        <w:spacing w:after="60" w:line="276" w:lineRule="auto"/>
      </w:pPr>
      <w:r>
        <w:rPr>
          <w:rFonts w:ascii="Calibri" w:hAnsi="Calibri"/>
          <w:b w:val="0"/>
          <w:i w:val="0"/>
          <w:color w:val="222222"/>
          <w:sz w:val="22"/>
        </w:rPr>
        <w:t>4. Highlighting professional practice standards (SABPP HR Service Delivery Standards, SHRM HR Competency Model, ISO 30400 series) and legal/ethical compliance (POPIA, SLA Contract Law, Data Ethics) is essential for full marks.</w:t>
      </w:r>
    </w:p>
    <w:p>
      <w:pPr>
        <w:spacing w:after="60" w:line="276" w:lineRule="auto"/>
      </w:pPr>
      <w:r>
        <w:rPr>
          <w:rFonts w:ascii="Calibri" w:hAnsi="Calibri"/>
          <w:b w:val="0"/>
          <w:i w:val="0"/>
          <w:color w:val="222222"/>
          <w:sz w:val="22"/>
        </w:rPr>
        <w:t>5. The pass mark for this internal summative assessment script is strictly 75% (75/100 Marks).</w:t>
      </w:r>
    </w:p>
    <w:p>
      <w:pPr>
        <w:spacing w:after="60" w:line="276" w:lineRule="auto"/>
      </w:pPr>
      <w:r>
        <w:rPr>
          <w:rFonts w:ascii="Calibri" w:hAnsi="Calibri"/>
          <w:b w:val="0"/>
          <w:i w:val="0"/>
          <w:color w:val="222222"/>
          <w:sz w:val="22"/>
        </w:rPr>
        <w:t>6. Write legibly and present your answers in a clear, professional business format.</w:t>
      </w:r>
    </w:p>
    <w:p>
      <w:pPr>
        <w:spacing w:after="200"/>
      </w:pPr>
    </w:p>
    <w:p>
      <w:pPr>
        <w:keepNext/>
        <w:spacing w:before="320" w:after="120"/>
      </w:pPr>
      <w:r>
        <w:rPr>
          <w:rFonts w:ascii="Arial" w:hAnsi="Arial"/>
          <w:b/>
          <w:color w:val="006666"/>
          <w:sz w:val="32"/>
        </w:rPr>
        <w:t>SECTION A: MULTIPLE CHOICE QUESTIONS (15 MARKS)</w:t>
      </w:r>
    </w:p>
    <w:p>
      <w:pPr>
        <w:spacing w:after="160" w:line="276" w:lineRule="auto"/>
      </w:pPr>
      <w:r>
        <w:rPr>
          <w:rFonts w:ascii="Calibri" w:hAnsi="Calibri"/>
          <w:b w:val="0"/>
          <w:i/>
          <w:color w:val="222222"/>
          <w:sz w:val="22"/>
        </w:rPr>
        <w:t>Instructions: Select the SINGLE best answer for each question. Each question carries 1 mark.</w:t>
      </w:r>
    </w:p>
    <w:p>
      <w:pPr>
        <w:keepNext/>
        <w:spacing w:after="60"/>
      </w:pPr>
      <w:r>
        <w:rPr>
          <w:rFonts w:ascii="Calibri" w:hAnsi="Calibri"/>
          <w:b/>
          <w:sz w:val="21"/>
        </w:rPr>
        <w:t>1. In a Multi-Tiered HR Service Delivery Model, Tier 1 is primarily responsible for:</w:t>
      </w:r>
    </w:p>
    <w:p>
      <w:pPr>
        <w:spacing w:after="40"/>
        <w:ind w:left="360"/>
      </w:pPr>
      <w:r>
        <w:rPr>
          <w:rFonts w:ascii="Calibri" w:hAnsi="Calibri"/>
          <w:sz w:val="20"/>
        </w:rPr>
        <w:t>A. Providing strategic HR consulting to executive directors</w:t>
      </w:r>
    </w:p>
    <w:p>
      <w:pPr>
        <w:spacing w:after="40"/>
        <w:ind w:left="360"/>
      </w:pPr>
      <w:r>
        <w:rPr>
          <w:rFonts w:ascii="Calibri" w:hAnsi="Calibri"/>
          <w:sz w:val="20"/>
        </w:rPr>
        <w:t>B. Managing specialized Centers of Excellence for complex benefits and compliance</w:t>
      </w:r>
    </w:p>
    <w:p>
      <w:pPr>
        <w:spacing w:after="40"/>
        <w:ind w:left="360"/>
      </w:pPr>
      <w:r>
        <w:rPr>
          <w:rFonts w:ascii="Calibri" w:hAnsi="Calibri"/>
          <w:sz w:val="20"/>
        </w:rPr>
        <w:t>C. Operating a Shared Services Center to process basic high-volume employee inquiries and transactions</w:t>
      </w:r>
    </w:p>
    <w:p>
      <w:pPr>
        <w:spacing w:after="40"/>
        <w:ind w:left="360"/>
      </w:pPr>
      <w:r>
        <w:rPr>
          <w:rFonts w:ascii="Calibri" w:hAnsi="Calibri"/>
          <w:sz w:val="20"/>
        </w:rPr>
        <w:t>D. Negotiating collective bargaining agreements with trade unions</w:t>
      </w:r>
    </w:p>
    <w:p>
      <w:pPr>
        <w:keepNext/>
        <w:spacing w:after="60"/>
      </w:pPr>
      <w:r>
        <w:rPr>
          <w:rFonts w:ascii="Calibri" w:hAnsi="Calibri"/>
          <w:b/>
          <w:sz w:val="21"/>
        </w:rPr>
        <w:t>2. Which professional practice standard framework issued by the SABPP outlines 13 core elements covering the complete HR lifecycle in South Africa?</w:t>
      </w:r>
    </w:p>
    <w:p>
      <w:pPr>
        <w:spacing w:after="40"/>
        <w:ind w:left="360"/>
      </w:pPr>
      <w:r>
        <w:rPr>
          <w:rFonts w:ascii="Calibri" w:hAnsi="Calibri"/>
          <w:sz w:val="20"/>
        </w:rPr>
        <w:t>A. ISO 9001 Quality Management Framework</w:t>
      </w:r>
    </w:p>
    <w:p>
      <w:pPr>
        <w:spacing w:after="40"/>
        <w:ind w:left="360"/>
      </w:pPr>
      <w:r>
        <w:rPr>
          <w:rFonts w:ascii="Calibri" w:hAnsi="Calibri"/>
          <w:sz w:val="20"/>
        </w:rPr>
        <w:t>B. SABPP National HR Management Standard</w:t>
      </w:r>
    </w:p>
    <w:p>
      <w:pPr>
        <w:spacing w:after="40"/>
        <w:ind w:left="360"/>
      </w:pPr>
      <w:r>
        <w:rPr>
          <w:rFonts w:ascii="Calibri" w:hAnsi="Calibri"/>
          <w:sz w:val="20"/>
        </w:rPr>
        <w:t>C. King IV Code of Corporate Governance</w:t>
      </w:r>
    </w:p>
    <w:p>
      <w:pPr>
        <w:spacing w:after="40"/>
        <w:ind w:left="360"/>
      </w:pPr>
      <w:r>
        <w:rPr>
          <w:rFonts w:ascii="Calibri" w:hAnsi="Calibri"/>
          <w:sz w:val="20"/>
        </w:rPr>
        <w:t>D. SHRM Global HR Competency Model</w:t>
      </w:r>
    </w:p>
    <w:p>
      <w:pPr>
        <w:keepNext/>
        <w:spacing w:after="60"/>
      </w:pPr>
      <w:r>
        <w:rPr>
          <w:rFonts w:ascii="Calibri" w:hAnsi="Calibri"/>
          <w:b/>
          <w:sz w:val="21"/>
        </w:rPr>
        <w:t>3. When managing HR Technology Service Level Agreements (SLAs), what is the primary purpose of defining 'Uptime Guarantees'?</w:t>
      </w:r>
    </w:p>
    <w:p>
      <w:pPr>
        <w:spacing w:after="40"/>
        <w:ind w:left="360"/>
      </w:pPr>
      <w:r>
        <w:rPr>
          <w:rFonts w:ascii="Calibri" w:hAnsi="Calibri"/>
          <w:sz w:val="20"/>
        </w:rPr>
        <w:t>A. To limit the number of employees who can log into the system</w:t>
      </w:r>
    </w:p>
    <w:p>
      <w:pPr>
        <w:spacing w:after="40"/>
        <w:ind w:left="360"/>
      </w:pPr>
      <w:r>
        <w:rPr>
          <w:rFonts w:ascii="Calibri" w:hAnsi="Calibri"/>
          <w:sz w:val="20"/>
        </w:rPr>
        <w:t>B. To set measurable contractual standards for system availability and operational reliability</w:t>
      </w:r>
    </w:p>
    <w:p>
      <w:pPr>
        <w:spacing w:after="40"/>
        <w:ind w:left="360"/>
      </w:pPr>
      <w:r>
        <w:rPr>
          <w:rFonts w:ascii="Calibri" w:hAnsi="Calibri"/>
          <w:sz w:val="20"/>
        </w:rPr>
        <w:t>C. To calculate annual payroll tax deductions</w:t>
      </w:r>
    </w:p>
    <w:p>
      <w:pPr>
        <w:spacing w:after="40"/>
        <w:ind w:left="360"/>
      </w:pPr>
      <w:r>
        <w:rPr>
          <w:rFonts w:ascii="Calibri" w:hAnsi="Calibri"/>
          <w:sz w:val="20"/>
        </w:rPr>
        <w:t>D. To automatically conduct exit interviews</w:t>
      </w:r>
    </w:p>
    <w:p>
      <w:pPr>
        <w:keepNext/>
        <w:spacing w:after="60"/>
      </w:pPr>
      <w:r>
        <w:rPr>
          <w:rFonts w:ascii="Calibri" w:hAnsi="Calibri"/>
          <w:b/>
          <w:sz w:val="21"/>
        </w:rPr>
        <w:t>4. Under POPIA and professional ethics guidelines, 'Data Minimization' in People Analytics requires HR Officers to:</w:t>
      </w:r>
    </w:p>
    <w:p>
      <w:pPr>
        <w:spacing w:after="40"/>
        <w:ind w:left="360"/>
      </w:pPr>
      <w:r>
        <w:rPr>
          <w:rFonts w:ascii="Calibri" w:hAnsi="Calibri"/>
          <w:sz w:val="20"/>
        </w:rPr>
        <w:t>A. Delete all historical employee records after 30 days</w:t>
      </w:r>
    </w:p>
    <w:p>
      <w:pPr>
        <w:spacing w:after="40"/>
        <w:ind w:left="360"/>
      </w:pPr>
      <w:r>
        <w:rPr>
          <w:rFonts w:ascii="Calibri" w:hAnsi="Calibri"/>
          <w:sz w:val="20"/>
        </w:rPr>
        <w:t>B. Collect only the personal data that is strictly necessary for the specific analytics project</w:t>
      </w:r>
    </w:p>
    <w:p>
      <w:pPr>
        <w:spacing w:after="40"/>
        <w:ind w:left="360"/>
      </w:pPr>
      <w:r>
        <w:rPr>
          <w:rFonts w:ascii="Calibri" w:hAnsi="Calibri"/>
          <w:sz w:val="20"/>
        </w:rPr>
        <w:t>C. Share raw employee performance data publicly on company intranets</w:t>
      </w:r>
    </w:p>
    <w:p>
      <w:pPr>
        <w:spacing w:after="40"/>
        <w:ind w:left="360"/>
      </w:pPr>
      <w:r>
        <w:rPr>
          <w:rFonts w:ascii="Calibri" w:hAnsi="Calibri"/>
          <w:sz w:val="20"/>
        </w:rPr>
        <w:t>D. Bypass candidate consent during recruitment background checks</w:t>
      </w:r>
    </w:p>
    <w:p>
      <w:pPr>
        <w:keepNext/>
        <w:spacing w:after="60"/>
      </w:pPr>
      <w:r>
        <w:rPr>
          <w:rFonts w:ascii="Calibri" w:hAnsi="Calibri"/>
          <w:b/>
          <w:sz w:val="21"/>
        </w:rPr>
        <w:t>5. Which HR Service Delivery Model relies heavily on online portals, enabling employees to independently manage routine tasks like leave requests and profile updates?</w:t>
      </w:r>
    </w:p>
    <w:p>
      <w:pPr>
        <w:spacing w:after="40"/>
        <w:ind w:left="360"/>
      </w:pPr>
      <w:r>
        <w:rPr>
          <w:rFonts w:ascii="Calibri" w:hAnsi="Calibri"/>
          <w:sz w:val="20"/>
        </w:rPr>
        <w:t>A. Traditional Decentralized Model</w:t>
      </w:r>
    </w:p>
    <w:p>
      <w:pPr>
        <w:spacing w:after="40"/>
        <w:ind w:left="360"/>
      </w:pPr>
      <w:r>
        <w:rPr>
          <w:rFonts w:ascii="Calibri" w:hAnsi="Calibri"/>
          <w:sz w:val="20"/>
        </w:rPr>
        <w:t>B. Outsourced Model</w:t>
      </w:r>
    </w:p>
    <w:p>
      <w:pPr>
        <w:spacing w:after="40"/>
        <w:ind w:left="360"/>
      </w:pPr>
      <w:r>
        <w:rPr>
          <w:rFonts w:ascii="Calibri" w:hAnsi="Calibri"/>
          <w:sz w:val="20"/>
        </w:rPr>
        <w:t>C. Self-Service Model</w:t>
      </w:r>
    </w:p>
    <w:p>
      <w:pPr>
        <w:spacing w:after="40"/>
        <w:ind w:left="360"/>
      </w:pPr>
      <w:r>
        <w:rPr>
          <w:rFonts w:ascii="Calibri" w:hAnsi="Calibri"/>
          <w:sz w:val="20"/>
        </w:rPr>
        <w:t>D. Vendor-Managed Model</w:t>
      </w:r>
    </w:p>
    <w:p>
      <w:pPr>
        <w:keepNext/>
        <w:spacing w:after="60"/>
      </w:pPr>
      <w:r>
        <w:rPr>
          <w:rFonts w:ascii="Calibri" w:hAnsi="Calibri"/>
          <w:b/>
          <w:sz w:val="21"/>
        </w:rPr>
        <w:t>6. In HR contract management, a clause that outlines acceptable response times and system resolution metrics for technical glitches is part of the:</w:t>
      </w:r>
    </w:p>
    <w:p>
      <w:pPr>
        <w:spacing w:after="40"/>
        <w:ind w:left="360"/>
      </w:pPr>
      <w:r>
        <w:rPr>
          <w:rFonts w:ascii="Calibri" w:hAnsi="Calibri"/>
          <w:sz w:val="20"/>
        </w:rPr>
        <w:t>A. Non-Disclosure Agreement (NDA)</w:t>
      </w:r>
    </w:p>
    <w:p>
      <w:pPr>
        <w:spacing w:after="40"/>
        <w:ind w:left="360"/>
      </w:pPr>
      <w:r>
        <w:rPr>
          <w:rFonts w:ascii="Calibri" w:hAnsi="Calibri"/>
          <w:sz w:val="20"/>
        </w:rPr>
        <w:t>B. Service Level Agreement (SLA)</w:t>
      </w:r>
    </w:p>
    <w:p>
      <w:pPr>
        <w:spacing w:after="40"/>
        <w:ind w:left="360"/>
      </w:pPr>
      <w:r>
        <w:rPr>
          <w:rFonts w:ascii="Calibri" w:hAnsi="Calibri"/>
          <w:sz w:val="20"/>
        </w:rPr>
        <w:t>C. Employment Equity Plan</w:t>
      </w:r>
    </w:p>
    <w:p>
      <w:pPr>
        <w:spacing w:after="40"/>
        <w:ind w:left="360"/>
      </w:pPr>
      <w:r>
        <w:rPr>
          <w:rFonts w:ascii="Calibri" w:hAnsi="Calibri"/>
          <w:sz w:val="20"/>
        </w:rPr>
        <w:t>D. Memorandum of Incorporation</w:t>
      </w:r>
    </w:p>
    <w:p>
      <w:pPr>
        <w:keepNext/>
        <w:spacing w:after="60"/>
      </w:pPr>
      <w:r>
        <w:rPr>
          <w:rFonts w:ascii="Calibri" w:hAnsi="Calibri"/>
          <w:b/>
          <w:sz w:val="21"/>
        </w:rPr>
        <w:t>7. How does the modern HR function act as a value-adding strategic service provider rather than a purely administrative cost center?</w:t>
      </w:r>
    </w:p>
    <w:p>
      <w:pPr>
        <w:spacing w:after="40"/>
        <w:ind w:left="360"/>
      </w:pPr>
      <w:r>
        <w:rPr>
          <w:rFonts w:ascii="Calibri" w:hAnsi="Calibri"/>
          <w:sz w:val="20"/>
        </w:rPr>
        <w:t>A. By exclusively processing payroll and filing physical paperwork</w:t>
      </w:r>
    </w:p>
    <w:p>
      <w:pPr>
        <w:spacing w:after="40"/>
        <w:ind w:left="360"/>
      </w:pPr>
      <w:r>
        <w:rPr>
          <w:rFonts w:ascii="Calibri" w:hAnsi="Calibri"/>
          <w:sz w:val="20"/>
        </w:rPr>
        <w:t>B. By aligning human capital strategy directly with organizational objectives to drive performance and retention</w:t>
      </w:r>
    </w:p>
    <w:p>
      <w:pPr>
        <w:spacing w:after="40"/>
        <w:ind w:left="360"/>
      </w:pPr>
      <w:r>
        <w:rPr>
          <w:rFonts w:ascii="Calibri" w:hAnsi="Calibri"/>
          <w:sz w:val="20"/>
        </w:rPr>
        <w:t>C. By enforcing rigid bureaucracy without consulting line management</w:t>
      </w:r>
    </w:p>
    <w:p>
      <w:pPr>
        <w:spacing w:after="40"/>
        <w:ind w:left="360"/>
      </w:pPr>
      <w:r>
        <w:rPr>
          <w:rFonts w:ascii="Calibri" w:hAnsi="Calibri"/>
          <w:sz w:val="20"/>
        </w:rPr>
        <w:t>D. By eliminating all employee development budgets</w:t>
      </w:r>
    </w:p>
    <w:p>
      <w:pPr>
        <w:keepNext/>
        <w:spacing w:after="60"/>
      </w:pPr>
      <w:r>
        <w:rPr>
          <w:rFonts w:ascii="Calibri" w:hAnsi="Calibri"/>
          <w:b/>
          <w:sz w:val="21"/>
        </w:rPr>
        <w:t>8. In the SHRM HR Competency Model, the ability to design, execute, and evaluate efficient HR programs across an organization is known as:</w:t>
      </w:r>
    </w:p>
    <w:p>
      <w:pPr>
        <w:spacing w:after="40"/>
        <w:ind w:left="360"/>
      </w:pPr>
      <w:r>
        <w:rPr>
          <w:rFonts w:ascii="Calibri" w:hAnsi="Calibri"/>
          <w:sz w:val="20"/>
        </w:rPr>
        <w:t>A. Financial Auditing</w:t>
      </w:r>
    </w:p>
    <w:p>
      <w:pPr>
        <w:spacing w:after="40"/>
        <w:ind w:left="360"/>
      </w:pPr>
      <w:r>
        <w:rPr>
          <w:rFonts w:ascii="Calibri" w:hAnsi="Calibri"/>
          <w:sz w:val="20"/>
        </w:rPr>
        <w:t>B. HR Service Delivery</w:t>
      </w:r>
    </w:p>
    <w:p>
      <w:pPr>
        <w:spacing w:after="40"/>
        <w:ind w:left="360"/>
      </w:pPr>
      <w:r>
        <w:rPr>
          <w:rFonts w:ascii="Calibri" w:hAnsi="Calibri"/>
          <w:sz w:val="20"/>
        </w:rPr>
        <w:t>C. Supply Chain Logistics</w:t>
      </w:r>
    </w:p>
    <w:p>
      <w:pPr>
        <w:spacing w:after="40"/>
        <w:ind w:left="360"/>
      </w:pPr>
      <w:r>
        <w:rPr>
          <w:rFonts w:ascii="Calibri" w:hAnsi="Calibri"/>
          <w:sz w:val="20"/>
        </w:rPr>
        <w:t>D. Labor Arbitrage</w:t>
      </w:r>
    </w:p>
    <w:p>
      <w:pPr>
        <w:keepNext/>
        <w:spacing w:after="60"/>
      </w:pPr>
      <w:r>
        <w:rPr>
          <w:rFonts w:ascii="Calibri" w:hAnsi="Calibri"/>
          <w:b/>
          <w:sz w:val="21"/>
        </w:rPr>
        <w:t>9. What is a key risk associated with the complete outsourcing of core HR functions to external third-party vendors?</w:t>
      </w:r>
    </w:p>
    <w:p>
      <w:pPr>
        <w:spacing w:after="40"/>
        <w:ind w:left="360"/>
      </w:pPr>
      <w:r>
        <w:rPr>
          <w:rFonts w:ascii="Calibri" w:hAnsi="Calibri"/>
          <w:sz w:val="20"/>
        </w:rPr>
        <w:t>A. Guaranteed compliance with internal company culture</w:t>
      </w:r>
    </w:p>
    <w:p>
      <w:pPr>
        <w:spacing w:after="40"/>
        <w:ind w:left="360"/>
      </w:pPr>
      <w:r>
        <w:rPr>
          <w:rFonts w:ascii="Calibri" w:hAnsi="Calibri"/>
          <w:sz w:val="20"/>
        </w:rPr>
        <w:t>B. Loss of direct operational control and potential data privacy risks</w:t>
      </w:r>
    </w:p>
    <w:p>
      <w:pPr>
        <w:spacing w:after="40"/>
        <w:ind w:left="360"/>
      </w:pPr>
      <w:r>
        <w:rPr>
          <w:rFonts w:ascii="Calibri" w:hAnsi="Calibri"/>
          <w:sz w:val="20"/>
        </w:rPr>
        <w:t>C. Immediate elimination of all software subscription costs</w:t>
      </w:r>
    </w:p>
    <w:p>
      <w:pPr>
        <w:spacing w:after="40"/>
        <w:ind w:left="360"/>
      </w:pPr>
      <w:r>
        <w:rPr>
          <w:rFonts w:ascii="Calibri" w:hAnsi="Calibri"/>
          <w:sz w:val="20"/>
        </w:rPr>
        <w:t>D. Automatic increase in employee engagement scores</w:t>
      </w:r>
    </w:p>
    <w:p>
      <w:pPr>
        <w:keepNext/>
        <w:spacing w:after="60"/>
      </w:pPr>
      <w:r>
        <w:rPr>
          <w:rFonts w:ascii="Calibri" w:hAnsi="Calibri"/>
          <w:b/>
          <w:sz w:val="21"/>
        </w:rPr>
        <w:t>10. Which international standard provides guidelines for Human Resource Management - Quality of Hire metrics (ISO/TS 30411)?</w:t>
      </w:r>
    </w:p>
    <w:p>
      <w:pPr>
        <w:spacing w:after="40"/>
        <w:ind w:left="360"/>
      </w:pPr>
      <w:r>
        <w:rPr>
          <w:rFonts w:ascii="Calibri" w:hAnsi="Calibri"/>
          <w:sz w:val="20"/>
        </w:rPr>
        <w:t>A. ISO 9001</w:t>
      </w:r>
    </w:p>
    <w:p>
      <w:pPr>
        <w:spacing w:after="40"/>
        <w:ind w:left="360"/>
      </w:pPr>
      <w:r>
        <w:rPr>
          <w:rFonts w:ascii="Calibri" w:hAnsi="Calibri"/>
          <w:sz w:val="20"/>
        </w:rPr>
        <w:t>B. ISO 14001</w:t>
      </w:r>
    </w:p>
    <w:p>
      <w:pPr>
        <w:spacing w:after="40"/>
        <w:ind w:left="360"/>
      </w:pPr>
      <w:r>
        <w:rPr>
          <w:rFonts w:ascii="Calibri" w:hAnsi="Calibri"/>
          <w:sz w:val="20"/>
        </w:rPr>
        <w:t>C. ISO 30400 Series</w:t>
      </w:r>
    </w:p>
    <w:p>
      <w:pPr>
        <w:spacing w:after="40"/>
        <w:ind w:left="360"/>
      </w:pPr>
      <w:r>
        <w:rPr>
          <w:rFonts w:ascii="Calibri" w:hAnsi="Calibri"/>
          <w:sz w:val="20"/>
        </w:rPr>
        <w:t>D. ISO 45001</w:t>
      </w:r>
    </w:p>
    <w:p>
      <w:pPr>
        <w:keepNext/>
        <w:spacing w:after="60"/>
      </w:pPr>
      <w:r>
        <w:rPr>
          <w:rFonts w:ascii="Calibri" w:hAnsi="Calibri"/>
          <w:b/>
          <w:sz w:val="21"/>
        </w:rPr>
        <w:t>11. When conducting a root cause analysis of a service delivery failure using the '5 Whys' technique, the goal is to:</w:t>
      </w:r>
    </w:p>
    <w:p>
      <w:pPr>
        <w:spacing w:after="40"/>
        <w:ind w:left="360"/>
      </w:pPr>
      <w:r>
        <w:rPr>
          <w:rFonts w:ascii="Calibri" w:hAnsi="Calibri"/>
          <w:sz w:val="20"/>
        </w:rPr>
        <w:t>A. Identify a single individual to blame and discipline immediately</w:t>
      </w:r>
    </w:p>
    <w:p>
      <w:pPr>
        <w:spacing w:after="40"/>
        <w:ind w:left="360"/>
      </w:pPr>
      <w:r>
        <w:rPr>
          <w:rFonts w:ascii="Calibri" w:hAnsi="Calibri"/>
          <w:sz w:val="20"/>
        </w:rPr>
        <w:t>B. Drill down through consecutive causal layers to uncover the underlying systemic failure</w:t>
      </w:r>
    </w:p>
    <w:p>
      <w:pPr>
        <w:spacing w:after="40"/>
        <w:ind w:left="360"/>
      </w:pPr>
      <w:r>
        <w:rPr>
          <w:rFonts w:ascii="Calibri" w:hAnsi="Calibri"/>
          <w:sz w:val="20"/>
        </w:rPr>
        <w:t>C. Generate five separate financial budget reports</w:t>
      </w:r>
    </w:p>
    <w:p>
      <w:pPr>
        <w:spacing w:after="40"/>
        <w:ind w:left="360"/>
      </w:pPr>
      <w:r>
        <w:rPr>
          <w:rFonts w:ascii="Calibri" w:hAnsi="Calibri"/>
          <w:sz w:val="20"/>
        </w:rPr>
        <w:t>D. Ask five different employees the exact same interview question</w:t>
      </w:r>
    </w:p>
    <w:p>
      <w:pPr>
        <w:keepNext/>
        <w:spacing w:after="60"/>
      </w:pPr>
      <w:r>
        <w:rPr>
          <w:rFonts w:ascii="Calibri" w:hAnsi="Calibri"/>
          <w:b/>
          <w:sz w:val="21"/>
        </w:rPr>
        <w:t>12. What document outlines the specific HR services provided, performance benchmarks, and expected resolution timelines for internal company clients?</w:t>
      </w:r>
    </w:p>
    <w:p>
      <w:pPr>
        <w:spacing w:after="40"/>
        <w:ind w:left="360"/>
      </w:pPr>
      <w:r>
        <w:rPr>
          <w:rFonts w:ascii="Calibri" w:hAnsi="Calibri"/>
          <w:sz w:val="20"/>
        </w:rPr>
        <w:t>A. HR Service Delivery Charter</w:t>
      </w:r>
    </w:p>
    <w:p>
      <w:pPr>
        <w:spacing w:after="40"/>
        <w:ind w:left="360"/>
      </w:pPr>
      <w:r>
        <w:rPr>
          <w:rFonts w:ascii="Calibri" w:hAnsi="Calibri"/>
          <w:sz w:val="20"/>
        </w:rPr>
        <w:t>B. Basic Conditions of Employment Act</w:t>
      </w:r>
    </w:p>
    <w:p>
      <w:pPr>
        <w:spacing w:after="40"/>
        <w:ind w:left="360"/>
      </w:pPr>
      <w:r>
        <w:rPr>
          <w:rFonts w:ascii="Calibri" w:hAnsi="Calibri"/>
          <w:sz w:val="20"/>
        </w:rPr>
        <w:t>C. Disciplinary Code</w:t>
      </w:r>
    </w:p>
    <w:p>
      <w:pPr>
        <w:spacing w:after="40"/>
        <w:ind w:left="360"/>
      </w:pPr>
      <w:r>
        <w:rPr>
          <w:rFonts w:ascii="Calibri" w:hAnsi="Calibri"/>
          <w:sz w:val="20"/>
        </w:rPr>
        <w:t>D. Workplace Skills Plan</w:t>
      </w:r>
    </w:p>
    <w:p>
      <w:pPr>
        <w:keepNext/>
        <w:spacing w:after="60"/>
      </w:pPr>
      <w:r>
        <w:rPr>
          <w:rFonts w:ascii="Calibri" w:hAnsi="Calibri"/>
          <w:b/>
          <w:sz w:val="21"/>
        </w:rPr>
        <w:t>13. Ethical people analytics practice dictates that predictive algorithms used in talent decision-making must be regularly audited for:</w:t>
      </w:r>
    </w:p>
    <w:p>
      <w:pPr>
        <w:spacing w:after="40"/>
        <w:ind w:left="360"/>
      </w:pPr>
      <w:r>
        <w:rPr>
          <w:rFonts w:ascii="Calibri" w:hAnsi="Calibri"/>
          <w:sz w:val="20"/>
        </w:rPr>
        <w:t>A. Maximum processing speed only</w:t>
      </w:r>
    </w:p>
    <w:p>
      <w:pPr>
        <w:spacing w:after="40"/>
        <w:ind w:left="360"/>
      </w:pPr>
      <w:r>
        <w:rPr>
          <w:rFonts w:ascii="Calibri" w:hAnsi="Calibri"/>
          <w:sz w:val="20"/>
        </w:rPr>
        <w:t>B. Algorithmic bias and unfair discrimination</w:t>
      </w:r>
    </w:p>
    <w:p>
      <w:pPr>
        <w:spacing w:after="40"/>
        <w:ind w:left="360"/>
      </w:pPr>
      <w:r>
        <w:rPr>
          <w:rFonts w:ascii="Calibri" w:hAnsi="Calibri"/>
          <w:sz w:val="20"/>
        </w:rPr>
        <w:t>C. Marketing appeal</w:t>
      </w:r>
    </w:p>
    <w:p>
      <w:pPr>
        <w:spacing w:after="40"/>
        <w:ind w:left="360"/>
      </w:pPr>
      <w:r>
        <w:rPr>
          <w:rFonts w:ascii="Calibri" w:hAnsi="Calibri"/>
          <w:sz w:val="20"/>
        </w:rPr>
        <w:t>D. Complete elimination of human involvement</w:t>
      </w:r>
    </w:p>
    <w:p>
      <w:pPr>
        <w:keepNext/>
        <w:spacing w:after="60"/>
      </w:pPr>
      <w:r>
        <w:rPr>
          <w:rFonts w:ascii="Calibri" w:hAnsi="Calibri"/>
          <w:b/>
          <w:sz w:val="21"/>
        </w:rPr>
        <w:t>14. In Kotter's 8-Step Change Management Model, what is a crucial action during the initial phase of implementing a new HR technology platform?</w:t>
      </w:r>
    </w:p>
    <w:p>
      <w:pPr>
        <w:spacing w:after="40"/>
        <w:ind w:left="360"/>
      </w:pPr>
      <w:r>
        <w:rPr>
          <w:rFonts w:ascii="Calibri" w:hAnsi="Calibri"/>
          <w:sz w:val="20"/>
        </w:rPr>
        <w:t>A. Declaring victory before user adoption is measured</w:t>
      </w:r>
    </w:p>
    <w:p>
      <w:pPr>
        <w:spacing w:after="40"/>
        <w:ind w:left="360"/>
      </w:pPr>
      <w:r>
        <w:rPr>
          <w:rFonts w:ascii="Calibri" w:hAnsi="Calibri"/>
          <w:sz w:val="20"/>
        </w:rPr>
        <w:t>B. Establishing a sense of urgency and communicating the 'Why' behind the change</w:t>
      </w:r>
    </w:p>
    <w:p>
      <w:pPr>
        <w:spacing w:after="40"/>
        <w:ind w:left="360"/>
      </w:pPr>
      <w:r>
        <w:rPr>
          <w:rFonts w:ascii="Calibri" w:hAnsi="Calibri"/>
          <w:sz w:val="20"/>
        </w:rPr>
        <w:t>C. Punishing employees who ask questions</w:t>
      </w:r>
    </w:p>
    <w:p>
      <w:pPr>
        <w:spacing w:after="40"/>
        <w:ind w:left="360"/>
      </w:pPr>
      <w:r>
        <w:rPr>
          <w:rFonts w:ascii="Calibri" w:hAnsi="Calibri"/>
          <w:sz w:val="20"/>
        </w:rPr>
        <w:t>D. Disbanding the project steering committee</w:t>
      </w:r>
    </w:p>
    <w:p>
      <w:pPr>
        <w:keepNext/>
        <w:spacing w:after="60"/>
      </w:pPr>
      <w:r>
        <w:rPr>
          <w:rFonts w:ascii="Calibri" w:hAnsi="Calibri"/>
          <w:b/>
          <w:sz w:val="21"/>
        </w:rPr>
        <w:t>15. Which metric evaluates the financial efficiency of the HR talent acquisition service delivery process?</w:t>
      </w:r>
    </w:p>
    <w:p>
      <w:pPr>
        <w:spacing w:after="40"/>
        <w:ind w:left="360"/>
      </w:pPr>
      <w:r>
        <w:rPr>
          <w:rFonts w:ascii="Calibri" w:hAnsi="Calibri"/>
          <w:sz w:val="20"/>
        </w:rPr>
        <w:t>A. First Call Resolution (FCR)</w:t>
      </w:r>
    </w:p>
    <w:p>
      <w:pPr>
        <w:spacing w:after="40"/>
        <w:ind w:left="360"/>
      </w:pPr>
      <w:r>
        <w:rPr>
          <w:rFonts w:ascii="Calibri" w:hAnsi="Calibri"/>
          <w:sz w:val="20"/>
        </w:rPr>
        <w:t>B. Cost Per Hire</w:t>
      </w:r>
    </w:p>
    <w:p>
      <w:pPr>
        <w:spacing w:after="40"/>
        <w:ind w:left="360"/>
      </w:pPr>
      <w:r>
        <w:rPr>
          <w:rFonts w:ascii="Calibri" w:hAnsi="Calibri"/>
          <w:sz w:val="20"/>
        </w:rPr>
        <w:t>C. Net Promoter Score (NPS)</w:t>
      </w:r>
    </w:p>
    <w:p>
      <w:pPr>
        <w:spacing w:after="40"/>
        <w:ind w:left="360"/>
      </w:pPr>
      <w:r>
        <w:rPr>
          <w:rFonts w:ascii="Calibri" w:hAnsi="Calibri"/>
          <w:sz w:val="20"/>
        </w:rPr>
        <w:t>D. Absenteeism Index</w:t>
      </w:r>
    </w:p>
    <w:p>
      <w:pPr>
        <w:spacing w:after="200"/>
      </w:pPr>
    </w:p>
    <w:p>
      <w:pPr>
        <w:keepNext/>
        <w:spacing w:before="320" w:after="120"/>
      </w:pPr>
      <w:r>
        <w:rPr>
          <w:rFonts w:ascii="Arial" w:hAnsi="Arial"/>
          <w:b/>
          <w:color w:val="006666"/>
          <w:sz w:val="32"/>
        </w:rPr>
        <w:t>SECTION B: TRUE / FALSE WITH JUSTIFICATION (20 MARKS)</w:t>
      </w:r>
    </w:p>
    <w:p>
      <w:pPr>
        <w:spacing w:after="160" w:line="276" w:lineRule="auto"/>
      </w:pPr>
      <w:r>
        <w:rPr>
          <w:rFonts w:ascii="Calibri" w:hAnsi="Calibri"/>
          <w:b w:val="0"/>
          <w:i/>
          <w:color w:val="222222"/>
          <w:sz w:val="22"/>
        </w:rPr>
        <w:t>Instructions: State whether each statement is TRUE or FALSE, and provide a detailed technical justification citing relevant principles, statutory frameworks (e.g., POPIA, SLA contract law), professional standards (SABPP, SHRM, ISO 30400), or HR service delivery models. Allocation: 1 mark for correct True/False identification + 3 marks for comprehensive justification. Total: 4 marks each (5 Questions = 20 Marks).</w:t>
      </w:r>
    </w:p>
    <w:p>
      <w:pPr>
        <w:keepNext/>
        <w:spacing w:after="40"/>
      </w:pPr>
      <w:r>
        <w:rPr>
          <w:rFonts w:ascii="Calibri" w:hAnsi="Calibri"/>
          <w:b/>
          <w:sz w:val="21"/>
        </w:rPr>
        <w:t xml:space="preserve">Statement 1: </w:t>
      </w:r>
      <w:r>
        <w:rPr>
          <w:rFonts w:ascii="Calibri" w:hAnsi="Calibri"/>
          <w:i/>
          <w:sz w:val="21"/>
        </w:rPr>
        <w:t>"A Multi-Tiered HR Service Delivery Model relies entirely on external third-party consultants (Tier 3) to handle basic employee leave inquiries and address routine address updates."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2: </w:t>
      </w:r>
      <w:r>
        <w:rPr>
          <w:rFonts w:ascii="Calibri" w:hAnsi="Calibri"/>
          <w:i/>
          <w:sz w:val="21"/>
        </w:rPr>
        <w:t>"According to POPIA and ethical people analytics standards, an organization is legally permitted to sell employee performance data and health metrics to external marketing firms without employee consent."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3: </w:t>
      </w:r>
      <w:r>
        <w:rPr>
          <w:rFonts w:ascii="Calibri" w:hAnsi="Calibri"/>
          <w:i/>
          <w:sz w:val="21"/>
        </w:rPr>
        <w:t>"Managing HR technology Service Level Agreements (SLAs) requires defining clear performance metrics (such as uptime guarantees, resolution times, and data security measures) and regularly auditing vendor performance against these benchmarks."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4: </w:t>
      </w:r>
      <w:r>
        <w:rPr>
          <w:rFonts w:ascii="Calibri" w:hAnsi="Calibri"/>
          <w:i/>
          <w:sz w:val="21"/>
        </w:rPr>
        <w:t>"An HR Service Delivery Charter is an informal document that carries no operational value, as line managers should never be informed of HR response times or service standards."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5: </w:t>
      </w:r>
      <w:r>
        <w:rPr>
          <w:rFonts w:ascii="Calibri" w:hAnsi="Calibri"/>
          <w:i/>
          <w:sz w:val="21"/>
        </w:rPr>
        <w:t>"To transform HR into a strategic value-adding service provider, the HR function must align its people practices, talent acquisition, and performance systems directly with the organization's strategic business goals."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after="200"/>
      </w:pPr>
    </w:p>
    <w:p>
      <w:pPr>
        <w:keepNext/>
        <w:spacing w:before="320" w:after="120"/>
      </w:pPr>
      <w:r>
        <w:rPr>
          <w:rFonts w:ascii="Arial" w:hAnsi="Arial"/>
          <w:b/>
          <w:color w:val="006666"/>
          <w:sz w:val="32"/>
        </w:rPr>
        <w:t>CASE STUDY SCENARIO: APEX LOGISTICS CUSTOMER SUPPORT DIVISION</w:t>
      </w:r>
    </w:p>
    <w:tbl>
      <w:tblPr>
        <w:tblW w:type="auto" w:w="0"/>
        <w:jc w:val="center"/>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Pr>
          <w:p>
            <w:pPr>
              <w:spacing w:after="80"/>
            </w:pPr>
            <w:r>
              <w:rPr>
                <w:rFonts w:ascii="Arial" w:hAnsi="Arial"/>
                <w:b/>
                <w:color w:val="006666"/>
                <w:sz w:val="22"/>
              </w:rPr>
              <w:t>ORGANISATIONAL CONTEXT: APEX LOGISTICS (JOHANNESBURG, GAUTENG)</w:t>
              <w:br/>
            </w:r>
          </w:p>
          <w:p>
            <w:pPr>
              <w:spacing w:after="0" w:line="276" w:lineRule="auto"/>
            </w:pPr>
            <w:r>
              <w:rPr>
                <w:rFonts w:ascii="Calibri" w:hAnsi="Calibri"/>
                <w:sz w:val="20"/>
              </w:rPr>
              <w:t>Background: Apex Logistics is a nationwide supply chain and freight distribution enterprise operating a 120-person Customer Support Division (CSD) in Johannesburg. The division comprises 120 Customer Support Consultants organized into 4 operational teams (30 consultants per team) managed by Team Leaders A, B, C, and D, overseen by the CSD Line Manager.</w:t>
              <w:br/>
              <w:br/>
              <w:t>Operational Crisis &amp; Performance Collapse (Q1–Q3 Data):</w:t>
              <w:br/>
              <w:t>• High Turnover: Annual turnover in CSD reached 28% (Industry benchmark is 11%).</w:t>
              <w:br/>
              <w:t>• Soaring Absenteeism: Average sick leave rose to 4.2 days/month per employee (up from 1.1 days).</w:t>
              <w:br/>
              <w:t>• Collapsing Client Metrics: Customer Satisfaction (CSAT) dropped from 88% to 61%; First Call Resolution (FCR) plummeted from 82% to 54%.</w:t>
              <w:br/>
              <w:br/>
              <w:t>Diagnostic &amp; Stakeholder Discovery Findings:</w:t>
              <w:br/>
              <w:t>1. Exit Survey Analysis (25 Exits): 72% cited zero career progression pathways; 64% cited inconsistent/punitive management; 56% cited extreme burnout from unachievable quotas; 48% cited software system lags.</w:t>
              <w:br/>
              <w:t>2. Software Upgrade Disruption: Six months ago, an uncoordinated HR technology update added 4 extra screens per call, doubling call handle times while daily quotas remained fixed at 80 tickets/consultant.</w:t>
              <w:br/>
              <w:t>3. Leadership Disparities: Team Leaders C and D engage in public shaming on team chats when quotas are missed, whereas Team Leaders A and B run supportive teams with 50% lower turnover.</w:t>
              <w:br/>
              <w:t>4. Executive Mandate: Executive management (COO &amp; Finance Director) has tasked the HR Officer with conducting a root-cause diagnosis, designing a 3-tier recovery intervention, and presenting a formal Executive HR Implementation Strategy.</w:t>
            </w:r>
          </w:p>
        </w:tc>
      </w:tr>
    </w:tbl>
    <w:p>
      <w:pPr>
        <w:spacing w:after="200"/>
      </w:pPr>
    </w:p>
    <w:p>
      <w:pPr>
        <w:keepNext/>
        <w:spacing w:before="320" w:after="120"/>
      </w:pPr>
      <w:r>
        <w:rPr>
          <w:rFonts w:ascii="Arial" w:hAnsi="Arial"/>
          <w:b/>
          <w:color w:val="006666"/>
          <w:sz w:val="32"/>
        </w:rPr>
        <w:t>SECTION C: SCENARIO-BASED SHORT QUESTIONS (15 MARKS)</w:t>
      </w:r>
    </w:p>
    <w:p>
      <w:pPr>
        <w:spacing w:after="160" w:line="276" w:lineRule="auto"/>
      </w:pPr>
      <w:r>
        <w:rPr>
          <w:rFonts w:ascii="Calibri" w:hAnsi="Calibri"/>
          <w:b w:val="0"/>
          <w:i/>
          <w:color w:val="222222"/>
          <w:sz w:val="22"/>
        </w:rPr>
        <w:t>Instructions: Answer the following practical short questions based on the Apex Logistics scenario.</w:t>
      </w:r>
    </w:p>
    <w:p>
      <w:pPr>
        <w:keepNext/>
        <w:spacing w:after="40"/>
      </w:pPr>
      <w:r>
        <w:rPr>
          <w:rFonts w:ascii="Arial" w:hAnsi="Arial"/>
          <w:b/>
          <w:sz w:val="21"/>
        </w:rPr>
        <w:t xml:space="preserve">Question 1: Root Cause Analysis (5 Whys Technique) </w:t>
      </w:r>
      <w:r>
        <w:rPr>
          <w:b/>
          <w:color w:val="008080"/>
        </w:rPr>
        <w:t>[5 Marks]</w:t>
      </w:r>
    </w:p>
    <w:p>
      <w:pPr>
        <w:spacing w:after="120"/>
      </w:pPr>
      <w:r>
        <w:rPr>
          <w:rFonts w:ascii="Calibri" w:hAnsi="Calibri"/>
          <w:sz w:val="20"/>
        </w:rPr>
        <w:t>Apply the '5 Whys' problem-solving technique (PS0105) to drill down from the surface symptom (28% turnover &amp; 61% CSAT) to the underlying systemic root cause at Apex Logistics CSD. Detail each of the 5 causal steps clearly.</w:t>
      </w:r>
    </w:p>
    <w:p>
      <w:pPr>
        <w:keepNext/>
        <w:spacing w:after="40"/>
      </w:pPr>
      <w:r>
        <w:rPr>
          <w:rFonts w:ascii="Arial" w:hAnsi="Arial"/>
          <w:b/>
          <w:sz w:val="21"/>
        </w:rPr>
        <w:t xml:space="preserve">Question 2: HR Technology &amp; SLA Contract Management </w:t>
      </w:r>
      <w:r>
        <w:rPr>
          <w:b/>
          <w:color w:val="008080"/>
        </w:rPr>
        <w:t>[5 Marks]</w:t>
      </w:r>
    </w:p>
    <w:p>
      <w:pPr>
        <w:spacing w:after="120"/>
      </w:pPr>
      <w:r>
        <w:rPr>
          <w:rFonts w:ascii="Calibri" w:hAnsi="Calibri"/>
          <w:sz w:val="20"/>
        </w:rPr>
        <w:t>The software upgrade doubled call handle times and created operational friction. Outline THREE key SLA contract management steps (KT0106) the HR Officer must take with the IT software vendor to restore system efficiency and align software workflows with realistic work quotas.</w:t>
      </w:r>
    </w:p>
    <w:p>
      <w:pPr>
        <w:keepNext/>
        <w:spacing w:after="40"/>
      </w:pPr>
      <w:r>
        <w:rPr>
          <w:rFonts w:ascii="Arial" w:hAnsi="Arial"/>
          <w:b/>
          <w:sz w:val="21"/>
        </w:rPr>
        <w:t xml:space="preserve">Question 3: Client Engagement &amp; Stakeholder Empathy </w:t>
      </w:r>
      <w:r>
        <w:rPr>
          <w:b/>
          <w:color w:val="008080"/>
        </w:rPr>
        <w:t>[5 Marks]</w:t>
      </w:r>
    </w:p>
    <w:p>
      <w:pPr>
        <w:spacing w:after="120"/>
      </w:pPr>
      <w:r>
        <w:rPr>
          <w:rFonts w:ascii="Calibri" w:hAnsi="Calibri"/>
          <w:sz w:val="20"/>
        </w:rPr>
        <w:t>Differentiate between the CSD Line Manager's initial request ('mandatory 1-day conflict workshop') and the actual systemic needs discovered by HR. Explain how the HR Officer demonstrates client focus (AK0101), active listening (AK0102), and empathy (AK0107) while guiding management toward a comprehensive solution.</w:t>
      </w:r>
    </w:p>
    <w:p>
      <w:pPr>
        <w:spacing w:after="200"/>
      </w:pPr>
    </w:p>
    <w:p>
      <w:pPr>
        <w:keepNext/>
        <w:spacing w:before="320" w:after="120"/>
      </w:pPr>
      <w:r>
        <w:rPr>
          <w:rFonts w:ascii="Arial" w:hAnsi="Arial"/>
          <w:b/>
          <w:color w:val="006666"/>
          <w:sz w:val="32"/>
        </w:rPr>
        <w:t>SECTION D: COMPREHENSIVE STRATEGIC LONG QUESTION (50 MARKS)</w:t>
      </w:r>
    </w:p>
    <w:p>
      <w:pPr>
        <w:spacing w:after="160" w:line="276" w:lineRule="auto"/>
      </w:pPr>
      <w:r>
        <w:rPr>
          <w:rFonts w:ascii="Calibri" w:hAnsi="Calibri"/>
          <w:b w:val="0"/>
          <w:i/>
          <w:color w:val="222222"/>
          <w:sz w:val="22"/>
        </w:rPr>
        <w:t>Instructions: Develop a comprehensive, formal Executive HR Report and Change Management Strategy (PS0101, PS0102) for COO, Finance Director, CSD Line Manager, and Union Representatives. Your response must address all four core sub-sections thoroughly, aligning recommendations with SABPP HR Standards, SHRM Competencies, POPIA, and sound HR service delivery theory.</w:t>
      </w:r>
    </w:p>
    <w:p>
      <w:pPr>
        <w:keepNext/>
        <w:spacing w:before="160" w:after="40"/>
      </w:pPr>
      <w:r>
        <w:rPr>
          <w:rFonts w:ascii="Arial" w:hAnsi="Arial"/>
          <w:b/>
          <w:sz w:val="22"/>
        </w:rPr>
        <w:t xml:space="preserve">SUB-SECTION D1: OPERATIONAL DIAGNOSTIC &amp; 3-TIER RECOVERY FRAMEWORK </w:t>
      </w:r>
      <w:r>
        <w:rPr>
          <w:b/>
          <w:color w:val="008080"/>
        </w:rPr>
        <w:t>[13 Marks]</w:t>
      </w:r>
    </w:p>
    <w:p>
      <w:pPr>
        <w:spacing w:after="160"/>
      </w:pPr>
      <w:r>
        <w:rPr>
          <w:rFonts w:ascii="Calibri" w:hAnsi="Calibri"/>
          <w:sz w:val="20"/>
        </w:rPr>
        <w:t>Formulate an Executive HR Report section analyzing the CSD operational metrics and detailing the proposed solution.</w:t>
        <w:br/>
        <w:t>• Quantitative variance analysis table comparing baseline targets vs Q3 metrics (Turnover, Absenteeism, CSAT, FCR).</w:t>
        <w:br/>
        <w:t>• Qualitative synthesis of exit interview and focus group findings across the 4 consultant teams.</w:t>
        <w:br/>
        <w:t>• Detailed 3-Tier Recovery Framework: Tier 1 (Workload &amp; Systems Optimization), Tier 2 (Leadership Capability Building for Team Leaders C/D), and Tier 3 (Career Pathing &amp; Retention Framework).</w:t>
        <w:br/>
        <w:t>• Financial justification demonstrating turnover cost reduction and ROI for executive sign-off.</w:t>
      </w:r>
    </w:p>
    <w:p>
      <w:pPr>
        <w:keepNext/>
        <w:spacing w:before="160" w:after="40"/>
      </w:pPr>
      <w:r>
        <w:rPr>
          <w:rFonts w:ascii="Arial" w:hAnsi="Arial"/>
          <w:b/>
          <w:sz w:val="22"/>
        </w:rPr>
        <w:t xml:space="preserve">SUB-SECTION D2: CHANGE MANAGEMENT, KOTTER'S MODEL &amp; STAKEHOLDER ENGAGEMENT </w:t>
      </w:r>
      <w:r>
        <w:rPr>
          <w:b/>
          <w:color w:val="008080"/>
        </w:rPr>
        <w:t>[13 Marks]</w:t>
      </w:r>
    </w:p>
    <w:p>
      <w:pPr>
        <w:spacing w:after="160"/>
      </w:pPr>
      <w:r>
        <w:rPr>
          <w:rFonts w:ascii="Calibri" w:hAnsi="Calibri"/>
          <w:sz w:val="20"/>
        </w:rPr>
        <w:t>Design a comprehensive Change Management &amp; Communication Plan to execute the recovery strategy across CSD.</w:t>
        <w:br/>
        <w:t>• Operationalising Kotter's 8-Step Change Framework to transition CSD smoothly to the new working model.</w:t>
        <w:br/>
        <w:t>• Tailored stakeholder communication matrix for executive leadership, line managers, team leaders, and union shop stewards.</w:t>
        <w:br/>
        <w:t>• Proactive risk mitigation strategy (AK0108) to address employee skepticism, public shaming, and burnout.</w:t>
        <w:br/>
        <w:t>• Communication channels (Town Halls, weekly Q&amp;A briefs) ensuring transparency (AK0104) and trust.</w:t>
      </w:r>
    </w:p>
    <w:p>
      <w:pPr>
        <w:keepNext/>
        <w:spacing w:before="160" w:after="40"/>
      </w:pPr>
      <w:r>
        <w:rPr>
          <w:rFonts w:ascii="Arial" w:hAnsi="Arial"/>
          <w:b/>
          <w:sz w:val="22"/>
        </w:rPr>
        <w:t xml:space="preserve">SUB-SECTION D3: ETHICAL PEOPLE ANALYTICS, POPIA GOVERNANCE &amp; HR SERVICE MODEL </w:t>
      </w:r>
      <w:r>
        <w:rPr>
          <w:b/>
          <w:color w:val="008080"/>
        </w:rPr>
        <w:t>[12 Marks]</w:t>
      </w:r>
    </w:p>
    <w:p>
      <w:pPr>
        <w:spacing w:after="160"/>
      </w:pPr>
      <w:r>
        <w:rPr>
          <w:rFonts w:ascii="Calibri" w:hAnsi="Calibri"/>
          <w:sz w:val="20"/>
        </w:rPr>
        <w:t>Establish a technology, analytics, and governance framework for HR service delivery in CSD.</w:t>
        <w:br/>
        <w:t>• Selecting and justifying the most appropriate HR Service Delivery Model (e.g., Shared Services / Multi-Tiered) for Apex Logistics.</w:t>
        <w:br/>
        <w:t>• Ethical People Analytics framework ensuring POPIA compliance, data minimization, and algorithmic fairness.</w:t>
        <w:br/>
        <w:t>• HR Service Delivery Charter establishing response standards, query escalation channels, and SLA benchmarks for CSD staff.</w:t>
        <w:br/>
        <w:t>• Guidelines for data security and confidential handling of employee pulse survey feedback.</w:t>
      </w:r>
    </w:p>
    <w:p>
      <w:pPr>
        <w:keepNext/>
        <w:spacing w:before="160" w:after="40"/>
      </w:pPr>
      <w:r>
        <w:rPr>
          <w:rFonts w:ascii="Arial" w:hAnsi="Arial"/>
          <w:b/>
          <w:sz w:val="22"/>
        </w:rPr>
        <w:t xml:space="preserve">SUB-SECTION D4: CONTINUOUS IMPROVEMENT, METRICS &amp; EXECUTIVE DECISION-MAKING PRESENTATION </w:t>
      </w:r>
      <w:r>
        <w:rPr>
          <w:b/>
          <w:color w:val="008080"/>
        </w:rPr>
        <w:t>[12 Marks]</w:t>
      </w:r>
    </w:p>
    <w:p>
      <w:pPr>
        <w:spacing w:after="160"/>
      </w:pPr>
      <w:r>
        <w:rPr>
          <w:rFonts w:ascii="Calibri" w:hAnsi="Calibri"/>
          <w:sz w:val="20"/>
        </w:rPr>
        <w:t>Establish a continuous quality improvement and executive reporting mechanism (PS0102, AK0106).</w:t>
        <w:br/>
        <w:t>• Defining 5 core HR Service Delivery KPIs (e.g., Turnover Reduction Rate, CSAT Recovery Index, Absenteeism Normalization, Coaching Completion Rate, Query Resolution SLA) with targets.</w:t>
        <w:br/>
        <w:t>• Bi-weekly pulse survey feedback loop and monthly SLA review protocol with the CSD Line Manager.</w:t>
        <w:br/>
        <w:t>• Executive Presentation Deck structure tailored for decision-makers (COO, Finance, Union) addressing operational costs and well-being.</w:t>
        <w:br/>
        <w:t>• Actionable executive recommendation list for immediate sign-off.</w:t>
      </w:r>
    </w:p>
    <w:p>
      <w:pPr>
        <w:spacing w:after="4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