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Human Activity Recognition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[1] </w:t>
      </w:r>
      <w:r w:rsidDel="00000000" w:rsidR="00000000" w:rsidRPr="00000000">
        <w:rPr>
          <w:b w:val="1"/>
          <w:sz w:val="28"/>
          <w:szCs w:val="28"/>
          <w:rtl w:val="0"/>
        </w:rPr>
        <w:t xml:space="preserve">SensorLM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https://arxiv.org/pdf/2506.09108v1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Обучили новый энкодер для модальности сенсоров активности.</w:t>
        <w:br w:type="textWrapping"/>
        <w:br w:type="textWrapping"/>
        <w:t xml:space="preserve">“The input to the sensor encoder is a matrix of shape [26 features × 1440 minutes], representing one-day windows of sensor data at minutely resolution. The sensor encoder is built using a ViT-2D backbone with a 2D patch size of (2, 10), producing 1872 tokens.”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Извлекают 3 вида фичей из данных с сенсоров: Statistical, Structural, Semantic captions.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Также обучили тект энкодер для извлеченных фичей (Statistical, Structural, Semantic captions).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Вида обучения CLIP, Cap, CoCa. CoCa Показал наилучший результат (contrastive loss + captioning loss).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sz w:val="28"/>
          <w:szCs w:val="28"/>
          <w:rtl w:val="0"/>
        </w:rPr>
        <w:t xml:space="preserve">ZARA: Zero-shot Motion Time-Series Analysis via Knowledge and Retrieval Driven LLM Agents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https://arxiv.org/pdf/2508.04038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Комплексный пайплайн с RAG.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код.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Вида описания данных с сенсора (embedding + captions).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Также как в [1] используют описания для данных с сенсоров (captions). Далее каким то образом (cross-validation, но непонятно на чём) вычисляется важность каждого кэпшена.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 3 LLM агента:  Feature selector, Evidence pruning, Decision insight. (Одна и та же LLM).</w:t>
        <w:br w:type="textWrapping"/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[3] </w:t>
      </w:r>
      <w:r w:rsidDel="00000000" w:rsidR="00000000" w:rsidRPr="00000000">
        <w:rPr>
          <w:b w:val="1"/>
          <w:sz w:val="28"/>
          <w:szCs w:val="28"/>
          <w:rtl w:val="0"/>
        </w:rPr>
        <w:t xml:space="preserve">Sensor2Text: Enabling Natural Language Interactions for Daily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Tracking Using Wearable Sensors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https://arxiv.org/pdf/2410.20034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Подход похож на [1].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Немного устарела.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Самый короткий related work)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Video encoder в качестве учителя для обучаемой модели sensor encoder.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Q-Former для Q&amp;A на основе запроса и полученных sensor embeddings.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[4] </w:t>
      </w:r>
      <w:r w:rsidDel="00000000" w:rsidR="00000000" w:rsidRPr="00000000">
        <w:rPr>
          <w:b w:val="1"/>
          <w:sz w:val="28"/>
          <w:szCs w:val="28"/>
          <w:rtl w:val="0"/>
        </w:rPr>
        <w:t xml:space="preserve">SensorLLM: Aligning Large Language Models with Motion Sensors for Human Activity Recognition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https://arxiv.org/pdf/2410.10624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код.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Классический стетап с одним time series embedder и MLP, который проектирует его эмбеддинг в LLM.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Стадии обучения:</w:t>
        <w:br w:type="textWrapping"/>
        <w:t xml:space="preserve">MLP projector (Sensor Embedding -&gt; LLM tokens)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Голова классификатора (Отдельный классификатор для определения активности поверх LLM)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Tabular LLMs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[5]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TableGPT2: A Large Multimodal Model with Tabular Data Integration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https://arxiv.org/pdf/2411.02059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код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Обучен table энкодер </w:t>
        <w:br w:type="textWrapping"/>
        <w:t xml:space="preserve">(3 вида фичей: semantic table encoder, table language adapter, backbone llm)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Свой претрейн и SFT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Q-former для алайна эмбедингов таблицы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Применяют sentence transformer к каждой ячейки таблицы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Претрейн table encoder с помощью contrastive loss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Описан пайплайн подготовки данных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[6]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TableGPT: Towards Unifying Tables, Nature Language and Commands into One GPT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https://arxiv.org/pdf/2307.08674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тоже самое что [5], одинаковое название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Свой Cascaded Table Encoder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Пытаются сделать chain of thought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[7] </w:t>
      </w:r>
      <w:r w:rsidDel="00000000" w:rsidR="00000000" w:rsidRPr="00000000">
        <w:rPr>
          <w:b w:val="1"/>
          <w:sz w:val="28"/>
          <w:szCs w:val="28"/>
          <w:rtl w:val="0"/>
        </w:rPr>
        <w:t xml:space="preserve">BRIDGING THE SEMANTIC GAP BETWEEN TEXT AND TABLE: A CASE STUDY ON NL2SQL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https://openreview.net/pdf?id=qmsX2R19p9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Свой table encoder (получает эмбеддинги столбцов, а затем комбинирует их с текстовым описанием таблицы) (prompt template с эмбеддингами)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код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Также как [5] кодирует каждую ячейку по отдельности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Обучение в 3 стадии: Encoder Pre-training (претрейн table encoder со своим contrastive loss), Feature Alignment (table encoder + adapter), Instruction Tuning (adapter + llm)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Cвежая ICLR 2025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Описан пайплайн претрейна table encoder</w:t>
      </w:r>
    </w:p>
    <w:p w:rsidR="00000000" w:rsidDel="00000000" w:rsidP="00000000" w:rsidRDefault="00000000" w:rsidRPr="00000000" w14:paraId="0000003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Обзоры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[8] </w:t>
      </w:r>
      <w:r w:rsidDel="00000000" w:rsidR="00000000" w:rsidRPr="00000000">
        <w:rPr>
          <w:b w:val="1"/>
          <w:sz w:val="28"/>
          <w:szCs w:val="28"/>
          <w:rtl w:val="0"/>
        </w:rPr>
        <w:t xml:space="preserve">Towards LLM-Centric Multimodal Fusion: A Survey on Integration Strategies and Techniques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https://arxiv.org/pdf/2506.04788v1</w:t>
        </w:r>
      </w:hyperlink>
      <w:r w:rsidDel="00000000" w:rsidR="00000000" w:rsidRPr="00000000">
        <w:rPr>
          <w:sz w:val="28"/>
          <w:szCs w:val="28"/>
          <w:rtl w:val="0"/>
        </w:rPr>
        <w:t xml:space="preserve">) не открывается без впн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Свежий обзор базовых fusion методов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pdf/2307.08674" TargetMode="External"/><Relationship Id="rId10" Type="http://schemas.openxmlformats.org/officeDocument/2006/relationships/hyperlink" Target="https://arxiv.org/pdf/2411.02059" TargetMode="External"/><Relationship Id="rId13" Type="http://schemas.openxmlformats.org/officeDocument/2006/relationships/hyperlink" Target="https://arxiv.org/pdf/2506.04788v1" TargetMode="External"/><Relationship Id="rId12" Type="http://schemas.openxmlformats.org/officeDocument/2006/relationships/hyperlink" Target="https://openreview.net/pdf?id=qmsX2R19p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410.10624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506.09108v1" TargetMode="External"/><Relationship Id="rId7" Type="http://schemas.openxmlformats.org/officeDocument/2006/relationships/hyperlink" Target="https://arxiv.org/pdf/2508.04038" TargetMode="External"/><Relationship Id="rId8" Type="http://schemas.openxmlformats.org/officeDocument/2006/relationships/hyperlink" Target="https://arxiv.org/pdf/2410.200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