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OpenClaw — System-Prompt Sections</w:t>
      </w:r>
    </w:p>
    <w:p>
      <w:r>
        <w:t>Quelle: docs.openclaw.ai/concepts/system-prompt  |  Prompt-Modi: full (Standard) · minimal (Subagents) · none (nur Identität)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4057"/>
          </w:tcPr>
          <w:p>
            <w:r>
              <w:rPr>
                <w:b/>
                <w:color w:val="FFFFFF"/>
                <w:sz w:val="22"/>
              </w:rPr>
              <w:t>Name der Section</w:t>
            </w:r>
          </w:p>
        </w:tc>
        <w:tc>
          <w:tcPr>
            <w:tcW w:type="dxa" w:w="6236"/>
            <w:shd w:val="clear" w:color="auto" w:fill="2E4057"/>
          </w:tcPr>
          <w:p>
            <w:r>
              <w:rPr>
                <w:b/>
                <w:color w:val="FFFFFF"/>
                <w:sz w:val="22"/>
              </w:rPr>
              <w:t>Beschreibung</w:t>
            </w:r>
          </w:p>
        </w:tc>
        <w:tc>
          <w:tcPr>
            <w:tcW w:type="dxa" w:w="1417"/>
            <w:shd w:val="clear" w:color="auto" w:fill="2E4057"/>
          </w:tcPr>
          <w:p>
            <w:r>
              <w:rPr>
                <w:b/>
                <w:color w:val="FFFFFF"/>
                <w:sz w:val="22"/>
              </w:rPr>
              <w:t>Modus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Tooling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Liste der verfügbaren Tools mit strukturierter Tool-Quelle und Laufzeit-Anleitung zur Verwendung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Execution Bias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Follow-through-Anleitung: der Agent soll Aufgaben konsequent zu Ende führen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Safety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Guardrail-Erinnerung — Verhaltensbeschränkungen und ethische Richtlinien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Skills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Kompakte Liste der verfügbaren Skills; wird nur injiziert wenn berechtigte Skills vorhanden sind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OpenClaw Control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Gateway-Tool-Präferenz: OpenClaw-spezifische Direktiven für den Betrieb im Messaging-Gateway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OpenClaw Self-Update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Anweisungen zur Config-Verwaltung über das Gateway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Workspace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Pfad des Arbeitsverzeichnisses und Dateisystem-Kontext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Documentation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Verweise auf lokale OpenClaw-Docs; Fallback: docs.openclaw.ai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Sandbox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Einschränkungen und Details beim Betrieb im Sandbox-Modus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Current Date &amp; Time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Enthält nur die Zeitzone; die aktuelle Uhrzeit wird dynamisch per session_status geliefert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Assistant Output Directives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Anweisungen zur Formatierung und zum Stil von Antworten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Heartbeats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Anweisungen für periodische Keep-alive-Nachrichten im Hintergrund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Runtime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Laufzeit-Metadaten: Host, Betriebssystem, aktives Modell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Reasoning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Sichtbarkeitslevel für das interne Denken des Modells (thinking level)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immer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Memory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Konversations-Gedächtnis — wird nur eingebunden wenn aktiviert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Reactions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Interaktive Reaktions-Optionen — wird nur eingebunden wenn aktiviert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Context Files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Bootstrap-Injektion von AGENTS.md, SOUL.md, TOOLS.md, MEMORY.md aus dem Workspace (max. 12.000 Zeichen/Datei, 60.000 gesamt)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0"/>
              </w:rPr>
              <w:t>Extra System Prompt Content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Benutzerdefinierte Erweiterungen des Prompts pro Channel oder Konfiguration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i/>
                <w:color w:val="888888"/>
                <w:sz w:val="20"/>
              </w:rPr>
              <w:t>optional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