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sip-pipeline-overview-from-soil-sampling-to-miseq-sequencing"/>
      <w:bookmarkEnd w:id="21"/>
      <w:r>
        <w:t xml:space="preserve">Buckley lab SIP pipeline overview: from soil sampling to MiSeq sequencing</w:t>
      </w:r>
    </w:p>
    <w:p>
      <w:pPr>
        <w:pStyle w:val="Heading2"/>
      </w:pPr>
      <w:bookmarkStart w:id="22" w:name="pipeline-steps-and-references-to-the-specific-protocols"/>
      <w:bookmarkEnd w:id="22"/>
      <w:r>
        <w:t xml:space="preserve">Pipeline steps and references to the specific protocols:</w:t>
      </w:r>
    </w:p>
    <w:p>
      <w:pPr>
        <w:pStyle w:val="Compact"/>
        <w:numPr>
          <w:numId w:val="1001"/>
          <w:ilvl w:val="0"/>
        </w:numPr>
      </w:pPr>
      <w:r>
        <w:t xml:space="preserve">Soil sampling</w:t>
      </w:r>
    </w:p>
    <w:p>
      <w:pPr>
        <w:pStyle w:val="Compact"/>
        <w:numPr>
          <w:numId w:val="1002"/>
          <w:ilvl w:val="1"/>
        </w:numPr>
      </w:pPr>
      <w:hyperlink r:id="rId23">
        <w:r>
          <w:rPr>
            <w:rStyle w:val="Link"/>
          </w:rPr>
          <w:t xml:space="preserve">soil_sampling_protocol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setup</w:t>
      </w:r>
    </w:p>
    <w:p>
      <w:pPr>
        <w:pStyle w:val="Compact"/>
        <w:numPr>
          <w:numId w:val="1003"/>
          <w:ilvl w:val="1"/>
        </w:numPr>
      </w:pPr>
      <w:r>
        <w:t xml:space="preserve">Ashley's priming experiment setup</w:t>
      </w:r>
    </w:p>
    <w:p>
      <w:pPr>
        <w:pStyle w:val="Compact"/>
        <w:numPr>
          <w:numId w:val="1004"/>
          <w:ilvl w:val="2"/>
        </w:numPr>
      </w:pPr>
      <w:hyperlink r:id="rId24">
        <w:r>
          <w:rPr>
            <w:rStyle w:val="Link"/>
          </w:rPr>
          <w:t xml:space="preserve">SIP_microcosm</w:t>
        </w:r>
      </w:hyperlink>
    </w:p>
    <w:p>
      <w:pPr>
        <w:pStyle w:val="Compact"/>
        <w:numPr>
          <w:numId w:val="1003"/>
          <w:ilvl w:val="1"/>
        </w:numPr>
      </w:pPr>
      <w:r>
        <w:t xml:space="preserve">Nick's full cycle pilot exp. setup</w:t>
      </w:r>
    </w:p>
    <w:p>
      <w:pPr>
        <w:pStyle w:val="Compact"/>
        <w:numPr>
          <w:numId w:val="1005"/>
          <w:ilvl w:val="2"/>
        </w:numPr>
      </w:pPr>
      <w:hyperlink r:id="rId25">
        <w:r>
          <w:rPr>
            <w:rStyle w:val="Link"/>
          </w:rPr>
          <w:t xml:space="preserve">SIP_fullCyc_pilot_microcosm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headspace CO</w:t>
      </w:r>
      <w:r>
        <w:t xml:space="preserve">2</w:t>
      </w:r>
      <w:r>
        <w:t xml:space="preserve"> </w:t>
      </w:r>
      <w:r>
        <w:t xml:space="preserve">measurements (via GC/MS)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Link"/>
          </w:rPr>
          <w:t xml:space="preserve">CO2_batch_run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extraction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Link"/>
          </w:rPr>
          <w:t xml:space="preserve">DNA_RNA_extraction_Protocol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If DNA:</w:t>
      </w:r>
      <w:r>
        <w:t xml:space="preserve"> </w:t>
      </w:r>
      <w:r>
        <w:t xml:space="preserve">CsCl fractionation</w:t>
      </w:r>
    </w:p>
    <w:p>
      <w:pPr>
        <w:pStyle w:val="Compact"/>
        <w:numPr>
          <w:numId w:val="1008"/>
          <w:ilvl w:val="1"/>
        </w:numPr>
      </w:pPr>
      <w:hyperlink r:id="rId28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Else if RNA:</w:t>
      </w:r>
      <w:r>
        <w:t xml:space="preserve"> </w:t>
      </w:r>
      <w:r>
        <w:t xml:space="preserve">CsTFA fractionation</w:t>
      </w:r>
    </w:p>
    <w:p>
      <w:pPr>
        <w:pStyle w:val="Compact"/>
        <w:numPr>
          <w:numId w:val="1009"/>
          <w:ilvl w:val="1"/>
        </w:numPr>
      </w:pPr>
      <w:hyperlink r:id="rId29">
        <w:r>
          <w:rPr>
            <w:rStyle w:val="Link"/>
          </w:rPr>
          <w:t xml:space="preserve">RNA_SIP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quantification:</w:t>
      </w:r>
    </w:p>
    <w:p>
      <w:pPr>
        <w:pStyle w:val="Compact"/>
        <w:numPr>
          <w:numId w:val="1010"/>
          <w:ilvl w:val="1"/>
        </w:numPr>
      </w:pPr>
      <w:hyperlink r:id="rId30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sample concentration</w:t>
      </w:r>
    </w:p>
    <w:p>
      <w:pPr>
        <w:pStyle w:val="Compact"/>
        <w:numPr>
          <w:numId w:val="1011"/>
          <w:ilvl w:val="1"/>
        </w:numPr>
      </w:pPr>
      <w:hyperlink r:id="rId31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01"/>
          <w:ilvl w:val="0"/>
        </w:numPr>
      </w:pPr>
      <w:r>
        <w:t xml:space="preserve">Pippin Prep</w:t>
      </w:r>
    </w:p>
    <w:p>
      <w:pPr>
        <w:pStyle w:val="Compact"/>
        <w:numPr>
          <w:numId w:val="1012"/>
          <w:ilvl w:val="1"/>
        </w:numPr>
      </w:pPr>
      <w:hyperlink r:id="rId32">
        <w:r>
          <w:rPr>
            <w:rStyle w:val="Link"/>
          </w:rPr>
          <w:t xml:space="preserve">Pippin_prep</w:t>
        </w:r>
      </w:hyperlink>
    </w:p>
    <w:p>
      <w:pPr>
        <w:pStyle w:val="Compact"/>
        <w:numPr>
          <w:numId w:val="1001"/>
          <w:ilvl w:val="0"/>
        </w:numPr>
      </w:pPr>
      <w:r>
        <w:t xml:space="preserve">Fraction nucleotide quantification:</w:t>
      </w:r>
    </w:p>
    <w:p>
      <w:pPr>
        <w:pStyle w:val="Compact"/>
        <w:numPr>
          <w:numId w:val="1013"/>
          <w:ilvl w:val="1"/>
        </w:numPr>
      </w:pPr>
      <w:hyperlink r:id="rId30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MiSeq library prep:</w:t>
      </w:r>
    </w:p>
    <w:p>
      <w:pPr>
        <w:pStyle w:val="Compact"/>
        <w:numPr>
          <w:numId w:val="1014"/>
          <w:ilvl w:val="1"/>
        </w:numPr>
      </w:pPr>
      <w:hyperlink r:id="rId33">
        <w:r>
          <w:rPr>
            <w:rStyle w:val="Link"/>
          </w:rPr>
          <w:t xml:space="preserve">Illumina_barcoding_protocol</w:t>
        </w:r>
      </w:hyperlink>
    </w:p>
    <w:p>
      <w:pPr>
        <w:pStyle w:val="Heading2"/>
      </w:pPr>
      <w:bookmarkStart w:id="34" w:name="others"/>
      <w:bookmarkEnd w:id="34"/>
      <w:r>
        <w:t xml:space="preserve">Others</w:t>
      </w:r>
    </w:p>
    <w:p>
      <w:pPr>
        <w:pStyle w:val="Compact"/>
        <w:numPr>
          <w:numId w:val="1015"/>
          <w:ilvl w:val="0"/>
        </w:numPr>
      </w:pPr>
      <w:r>
        <w:t xml:space="preserve">Cellulose farming</w:t>
      </w:r>
    </w:p>
    <w:p>
      <w:pPr>
        <w:pStyle w:val="Compact"/>
        <w:numPr>
          <w:numId w:val="1016"/>
          <w:ilvl w:val="1"/>
        </w:numPr>
      </w:pPr>
      <w:r>
        <w:t xml:space="preserve">Cellulose production</w:t>
      </w:r>
    </w:p>
    <w:p>
      <w:pPr>
        <w:pStyle w:val="Compact"/>
        <w:numPr>
          <w:numId w:val="1017"/>
          <w:ilvl w:val="2"/>
        </w:numPr>
      </w:pPr>
      <w:hyperlink r:id="rId35">
        <w:r>
          <w:rPr>
            <w:rStyle w:val="Link"/>
          </w:rPr>
          <w:t xml:space="preserve">CelluloseProductionProtocol</w:t>
        </w:r>
      </w:hyperlink>
    </w:p>
    <w:p>
      <w:pPr>
        <w:pStyle w:val="Compact"/>
        <w:numPr>
          <w:numId w:val="1016"/>
          <w:ilvl w:val="1"/>
        </w:numPr>
      </w:pPr>
      <w:r>
        <w:t xml:space="preserve">Cellulose grinding:</w:t>
      </w:r>
    </w:p>
    <w:p>
      <w:pPr>
        <w:pStyle w:val="Compact"/>
        <w:numPr>
          <w:numId w:val="1018"/>
          <w:ilvl w:val="2"/>
        </w:numPr>
      </w:pPr>
      <w:hyperlink r:id="rId36">
        <w:r>
          <w:rPr>
            <w:rStyle w:val="Link"/>
          </w:rPr>
          <w:t xml:space="preserve">CelluloseGrindingProtocol</w:t>
        </w:r>
      </w:hyperlink>
    </w:p>
    <w:p>
      <w:pPr>
        <w:pStyle w:val="Compact"/>
        <w:numPr>
          <w:numId w:val="1015"/>
          <w:ilvl w:val="0"/>
        </w:numPr>
      </w:pPr>
      <w:r>
        <w:t xml:space="preserve">Plant stimulant</w:t>
      </w:r>
    </w:p>
    <w:p>
      <w:pPr>
        <w:pStyle w:val="Compact"/>
        <w:numPr>
          <w:numId w:val="1019"/>
          <w:ilvl w:val="1"/>
        </w:numPr>
      </w:pPr>
      <w:hyperlink r:id="rId37">
        <w:r>
          <w:rPr>
            <w:rStyle w:val="Link"/>
          </w:rPr>
          <w:t xml:space="preserve">Substrate_Additions_MicrobSuccession</w:t>
        </w:r>
      </w:hyperlink>
    </w:p>
    <w:p>
      <w:pPr>
        <w:pStyle w:val="Heading2"/>
      </w:pPr>
      <w:bookmarkStart w:id="38" w:name="workflows"/>
      <w:bookmarkEnd w:id="38"/>
      <w:r>
        <w:t xml:space="preserve">Workflows</w:t>
      </w:r>
    </w:p>
    <w:p>
      <w:pPr>
        <w:pStyle w:val="Heading3"/>
      </w:pPr>
      <w:bookmarkStart w:id="39" w:name="bulk-dna-sequencing-of-the-16s-rrna-gene"/>
      <w:bookmarkEnd w:id="39"/>
      <w:r>
        <w:t xml:space="preserve">Bulk DNA sequencing of the 16S rRNA gene</w:t>
      </w:r>
    </w:p>
    <w:p>
      <w:pPr>
        <w:numPr>
          <w:numId w:val="1020"/>
          <w:ilvl w:val="0"/>
        </w:numPr>
      </w:pPr>
      <w:hyperlink r:id="rId27">
        <w:r>
          <w:rPr>
            <w:rStyle w:val="Link"/>
          </w:rPr>
          <w:t xml:space="preserve">Nucleotide extraction</w:t>
        </w:r>
      </w:hyperlink>
    </w:p>
    <w:p>
      <w:pPr>
        <w:numPr>
          <w:numId w:val="1020"/>
          <w:ilvl w:val="0"/>
        </w:numPr>
      </w:pPr>
      <w:hyperlink r:id="rId40">
        <w:r>
          <w:rPr>
            <w:rStyle w:val="Link"/>
          </w:rPr>
          <w:t xml:space="preserve">Sephadex column clean-up</w:t>
        </w:r>
      </w:hyperlink>
    </w:p>
    <w:p>
      <w:pPr>
        <w:numPr>
          <w:numId w:val="1020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numPr>
          <w:numId w:val="1020"/>
          <w:ilvl w:val="0"/>
        </w:numPr>
      </w:pPr>
      <w:hyperlink r:id="rId33">
        <w:r>
          <w:rPr>
            <w:rStyle w:val="Link"/>
          </w:rPr>
          <w:t xml:space="preserve">16S rRNA amplicon library prep</w:t>
        </w:r>
      </w:hyperlink>
    </w:p>
    <w:p>
      <w:pPr>
        <w:pStyle w:val="Heading3"/>
      </w:pPr>
      <w:bookmarkStart w:id="41" w:name="microcosm---gradient-fractionation---16s-rrna-gene-sequencing"/>
      <w:bookmarkEnd w:id="41"/>
      <w:r>
        <w:t xml:space="preserve">Microcosm -&gt; gradient fractionation -&gt; 16S rRNA gene sequencing</w:t>
      </w:r>
    </w:p>
    <w:p>
      <w:pPr>
        <w:numPr>
          <w:numId w:val="1021"/>
          <w:ilvl w:val="0"/>
        </w:numPr>
      </w:pPr>
      <w:hyperlink r:id="rId27">
        <w:r>
          <w:rPr>
            <w:rStyle w:val="Link"/>
          </w:rPr>
          <w:t xml:space="preserve">Nucleotide extraction</w:t>
        </w:r>
      </w:hyperlink>
    </w:p>
    <w:p>
      <w:pPr>
        <w:numPr>
          <w:numId w:val="1021"/>
          <w:ilvl w:val="0"/>
        </w:numPr>
      </w:pPr>
      <w:r>
        <w:rPr>
          <w:b/>
        </w:rPr>
        <w:t xml:space="preserve">Optional:</w:t>
      </w:r>
      <w:r>
        <w:t xml:space="preserve"> </w:t>
      </w:r>
      <w:r>
        <w:t xml:space="preserve">Concentrating via</w:t>
      </w:r>
      <w:r>
        <w:t xml:space="preserve"> </w:t>
      </w:r>
      <w:hyperlink r:id="rId31">
        <w:r>
          <w:rPr>
            <w:rStyle w:val="Link"/>
          </w:rPr>
          <w:t xml:space="preserve">speed-vac</w:t>
        </w:r>
      </w:hyperlink>
    </w:p>
    <w:p>
      <w:pPr>
        <w:numPr>
          <w:numId w:val="1021"/>
          <w:ilvl w:val="0"/>
        </w:numPr>
      </w:pPr>
      <w:hyperlink r:id="rId32">
        <w:r>
          <w:rPr>
            <w:rStyle w:val="Link"/>
          </w:rPr>
          <w:t xml:space="preserve">PippinPrep</w:t>
        </w:r>
      </w:hyperlink>
    </w:p>
    <w:p>
      <w:pPr>
        <w:numPr>
          <w:numId w:val="1021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1"/>
          <w:ilvl w:val="0"/>
        </w:numPr>
      </w:pPr>
      <w:hyperlink r:id="rId28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22"/>
          <w:ilvl w:val="1"/>
        </w:numPr>
      </w:pPr>
      <w:r>
        <w:t xml:space="preserve">Including desalting</w:t>
      </w:r>
    </w:p>
    <w:p>
      <w:pPr>
        <w:numPr>
          <w:numId w:val="1021"/>
          <w:ilvl w:val="0"/>
        </w:numPr>
      </w:pPr>
      <w:hyperlink r:id="rId30">
        <w:r>
          <w:rPr>
            <w:rStyle w:val="Link"/>
          </w:rPr>
          <w:t xml:space="preserve">Nucleotide quantification of fractions via Picogreen</w:t>
        </w:r>
      </w:hyperlink>
    </w:p>
    <w:p>
      <w:pPr>
        <w:pStyle w:val="Compact"/>
        <w:numPr>
          <w:numId w:val="1021"/>
          <w:ilvl w:val="0"/>
        </w:numPr>
      </w:pPr>
      <w:hyperlink r:id="rId33">
        <w:r>
          <w:rPr>
            <w:rStyle w:val="Link"/>
          </w:rPr>
          <w:t xml:space="preserve">16S rRNA amplicon library prep</w:t>
        </w:r>
      </w:hyperlink>
    </w:p>
    <w:p>
      <w:pPr>
        <w:pStyle w:val="Compact"/>
        <w:numPr>
          <w:numId w:val="1023"/>
          <w:ilvl w:val="1"/>
        </w:numPr>
      </w:pPr>
      <w:r>
        <w:t xml:space="preserve">For automated generation of the Excel files needed for the PCR assay, see the fractionSelectFor16S-PCR.ipynb notebook in the SIPdb repo.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d271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f088a4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32" Target="../Pippin_prep/Pippin_prep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6" Target="../cellulose_farming/CelluloseGrindingProtocol.html" TargetMode="External" /><Relationship Type="http://schemas.openxmlformats.org/officeDocument/2006/relationships/hyperlink" Id="rId35" Target="../cellulose_farming/CelluloseProductionProtocol.html" TargetMode="External" /><Relationship Type="http://schemas.openxmlformats.org/officeDocument/2006/relationships/hyperlink" Id="rId33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30" Target="../nucleotide_conc/picogreen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7" Target="../plant_stimulant/Substrate_Additions_MicrobSuccession.htm" TargetMode="External" /><Relationship Type="http://schemas.openxmlformats.org/officeDocument/2006/relationships/hyperlink" Id="rId23" Target="../sampling/soil_sampling_protocol.html" TargetMode="External" /><Relationship Type="http://schemas.openxmlformats.org/officeDocument/2006/relationships/hyperlink" Id="rId31" Target="../speed-vac/speed-vac.html" TargetMode="External" /><Relationship Type="http://schemas.openxmlformats.org/officeDocument/2006/relationships/hyperlink" Id="rId40" Target="http://www.gelifesciences.com/webapp/wcs/stores/servlet/productById/en/GELifeSciences/27533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32" Target="../Pippin_prep/Pippin_prep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6" Target="../cellulose_farming/CelluloseGrindingProtocol.html" TargetMode="External" /><Relationship Type="http://schemas.openxmlformats.org/officeDocument/2006/relationships/hyperlink" Id="rId35" Target="../cellulose_farming/CelluloseProductionProtocol.html" TargetMode="External" /><Relationship Type="http://schemas.openxmlformats.org/officeDocument/2006/relationships/hyperlink" Id="rId33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30" Target="../nucleotide_conc/picogreen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7" Target="../plant_stimulant/Substrate_Additions_MicrobSuccession.htm" TargetMode="External" /><Relationship Type="http://schemas.openxmlformats.org/officeDocument/2006/relationships/hyperlink" Id="rId23" Target="../sampling/soil_sampling_protocol.html" TargetMode="External" /><Relationship Type="http://schemas.openxmlformats.org/officeDocument/2006/relationships/hyperlink" Id="rId31" Target="../speed-vac/speed-vac.html" TargetMode="External" /><Relationship Type="http://schemas.openxmlformats.org/officeDocument/2006/relationships/hyperlink" Id="rId40" Target="http://www.gelifesciences.com/webapp/wcs/stores/servlet/productById/en/GELifeSciences/27533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