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Pippen_prep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r>
        <w:t xml:space="preserve">PCR with barcoded primers targetting a fragment of the 16S rRNA gene</w:t>
      </w:r>
    </w:p>
    <w:p>
      <w:pPr>
        <w:numPr>
          <w:numId w:val="1020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0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pStyle w:val="Heading3"/>
      </w:pPr>
      <w:bookmarkStart w:id="42" w:name="microcosm---gradient-fractionation---16s-rrna-gene-sequencing"/>
      <w:bookmarkEnd w:id="42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PippenPrep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1"/>
          <w:ilvl w:val="0"/>
        </w:numPr>
      </w:pPr>
      <w:r>
        <w:t xml:space="preserve">PCR with barcoded primers targetting a fragment of the 16S rRNA gene</w:t>
      </w:r>
    </w:p>
    <w:p>
      <w:pPr>
        <w:numPr>
          <w:numId w:val="1021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1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5dd6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1dd0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