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3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5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6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7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38" w:name="workflows"/>
      <w:bookmarkEnd w:id="38"/>
      <w:r>
        <w:t xml:space="preserve">Workflows</w:t>
      </w:r>
    </w:p>
    <w:p>
      <w:pPr>
        <w:pStyle w:val="Heading3"/>
      </w:pPr>
      <w:bookmarkStart w:id="39" w:name="bulk-dna-sequencing-of-the-16s-rrna-gene"/>
      <w:bookmarkEnd w:id="39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0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1" w:name="microcosm---gradient-fractionation---16s-rrna-gene-sequencing"/>
      <w:bookmarkEnd w:id="41"/>
      <w:r>
        <w:t xml:space="preserve">Microcosm -&gt; gradient fractionation -&gt; 16S rRNA gene sequencing</w:t>
      </w:r>
    </w:p>
    <w:p>
      <w:pPr>
        <w:numPr>
          <w:numId w:val="1021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1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PippinPrep</w:t>
        </w:r>
      </w:hyperlink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1"/>
          <w:ilvl w:val="0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2"/>
          <w:ilvl w:val="1"/>
        </w:numPr>
      </w:pPr>
      <w:r>
        <w:t xml:space="preserve">Including desalting</w:t>
      </w:r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of fractions via Picogreen</w:t>
        </w:r>
      </w:hyperlink>
    </w:p>
    <w:p>
      <w:pPr>
        <w:numPr>
          <w:numId w:val="1021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3bfe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7f6b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