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readme"/>
      <w:bookmarkEnd w:id="22"/>
      <w:r>
        <w:t xml:space="preserve">README</w:t>
      </w:r>
    </w:p>
    <w:p>
      <w:hyperlink r:id="rId23">
        <w:r>
          <w:rPr>
            <w:rStyle w:val="Link"/>
          </w:rPr>
          <w:t xml:space="preserve">README</w:t>
        </w:r>
      </w:hyperlink>
    </w:p>
    <w:p>
      <w:pPr>
        <w:pStyle w:val="Heading2"/>
      </w:pPr>
      <w:bookmarkStart w:id="24" w:name="pipeline-steps-and-references-to-the-specific-protocols"/>
      <w:bookmarkEnd w:id="24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6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7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4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7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8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9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40" w:name="workflows"/>
      <w:bookmarkEnd w:id="40"/>
      <w:r>
        <w:t xml:space="preserve">Workflows</w:t>
      </w:r>
    </w:p>
    <w:p>
      <w:pPr>
        <w:pStyle w:val="Heading3"/>
      </w:pPr>
      <w:bookmarkStart w:id="41" w:name="bulk-dna-sequencing-of-the-16s-rrna-gene"/>
      <w:bookmarkEnd w:id="41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3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4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469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0cf0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