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faqs"/>
      <w:bookmarkEnd w:id="22"/>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Full C-Cycle Exp: 5 ug per gradient</w:t>
      </w:r>
    </w:p>
    <w:p>
      <w:pPr>
        <w:pStyle w:val="Heading2"/>
      </w:pPr>
      <w:bookmarkStart w:id="23" w:name="making-gradient-media"/>
      <w:bookmarkEnd w:id="23"/>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3"/>
          <w:ilvl w:val="1"/>
        </w:numPr>
      </w:pPr>
      <w:r>
        <w:t xml:space="preserve">Then to convert refractive index:</w:t>
      </w:r>
    </w:p>
    <w:p>
      <w:pPr>
        <w:pStyle w:val="Compact"/>
        <w:numPr>
          <w:numId w:val="1016"/>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4" w:name="setting-up-the-gradients"/>
      <w:bookmarkEnd w:id="24"/>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5" w:name="cscl-gradient-fractioning"/>
      <w:bookmarkEnd w:id="25"/>
      <w:r>
        <w:t xml:space="preserve">CsCl gradient fractioning</w:t>
      </w:r>
    </w:p>
    <w:p>
      <w:pPr>
        <w:pStyle w:val="Heading3"/>
      </w:pPr>
      <w:bookmarkStart w:id="26" w:name="setting-up-the-fraction-recovery-system"/>
      <w:bookmarkEnd w:id="26"/>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7" w:name="fractionation"/>
      <w:bookmarkEnd w:id="27"/>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8" w:name="cleaning-up-between-tubes"/>
      <w:bookmarkEnd w:id="28"/>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29" w:name="final-clean-up"/>
      <w:bookmarkEnd w:id="29"/>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0" w:name="removing-cscl-from-dna-samples-de-salting"/>
      <w:bookmarkEnd w:id="30"/>
      <w:r>
        <w:t xml:space="preserve">Removing CsCl from DNA samples (de-salting)</w:t>
      </w:r>
    </w:p>
    <w:p>
      <w:r>
        <w:t xml:space="preserve">Magnetic bead-based clean-up is used.</w:t>
      </w:r>
    </w:p>
    <w:p>
      <w:pPr>
        <w:pStyle w:val="Heading3"/>
      </w:pPr>
      <w:bookmarkStart w:id="31" w:name="using-the-robot"/>
      <w:bookmarkEnd w:id="31"/>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2" w:name="manual-option-1-isopropanol-ppt"/>
      <w:bookmarkEnd w:id="32"/>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3" w:name="manual-option-2-filtration"/>
      <w:bookmarkEnd w:id="33"/>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4" w:name="notes"/>
      <w:bookmarkEnd w:id="34"/>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4deb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b583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ae680d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d63acb9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