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w:r>
        <w:t xml:space="preserve">1.69 (g/ml) * 4.75 (ml) = 8.0275 (g)</w:t>
      </w:r>
    </w:p>
    <w:p>
      <w:pPr>
        <w:pStyle w:val="BlockQuote"/>
      </w:pPr>
      <w:r>
        <w:rPr>
          <w:b/>
        </w:rPr>
        <w:t xml:space="preserve">Subtract the mass of the DNA/RNA solution:</w:t>
      </w:r>
      <w:r>
        <w:t xml:space="preserve"> </w:t>
      </w:r>
      <w:r>
        <w:t xml:space="preserve">8.0275 (g) - 0.45 (g) = 7.5775 (g)</w:t>
      </w:r>
    </w:p>
    <w:p>
      <w:pPr>
        <w:pStyle w:val="BlockQuote"/>
      </w:pPr>
      <w:r>
        <w:rPr>
          <w:b/>
        </w:rPr>
        <w:t xml:space="preserve">The desired density for CsCl solution:</w:t>
      </w:r>
      <w:r>
        <w:t xml:space="preserve"> </w:t>
      </w:r>
      <w:r>
        <w:t xml:space="preserve">7.5775 (g) / 4.3 (ml) = 1.762 (g/ml)</w:t>
      </w:r>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w:r>
        <w:t xml:space="preserve">R</w:t>
      </w:r>
      <w:r>
        <w:t xml:space="preserve">I corrected</w:t>
      </w:r>
      <w:r>
        <w:t xml:space="preserve"> </w:t>
      </w:r>
      <w:r>
        <w:t xml:space="preserve">= R</w:t>
      </w:r>
      <w:r>
        <w:t xml:space="preserve">I observed</w:t>
      </w:r>
      <w:r>
        <w:t xml:space="preserve"> </w:t>
      </w:r>
      <w:r>
        <w:t xml:space="preserve">- (R</w:t>
      </w:r>
      <w:r>
        <w:t xml:space="preserve">I buffer</w:t>
      </w:r>
      <w:r>
        <w:t xml:space="preserve"> </w:t>
      </w:r>
      <w:r>
        <w:t xml:space="preserve">- 1.3333)</w:t>
      </w:r>
    </w:p>
    <w:p>
      <w:pPr>
        <w:pStyle w:val="Compact"/>
        <w:numPr>
          <w:numId w:val="1013"/>
          <w:ilvl w:val="1"/>
        </w:numPr>
      </w:pPr>
      <w:r>
        <w:t xml:space="preserve">Then to convert refractive index:</w:t>
      </w:r>
    </w:p>
    <w:p>
      <w:pPr>
        <w:pStyle w:val="Compact"/>
        <w:numPr>
          <w:numId w:val="1016"/>
          <w:ilvl w:val="2"/>
        </w:numPr>
      </w:pPr>
      <w:r>
        <w:t xml:space="preserve">Density (g/ml) = a * R</w:t>
      </w:r>
      <w:r>
        <w:t xml:space="preserve">I corrected</w:t>
      </w:r>
      <w:r>
        <w:t xml:space="preserve"> </w:t>
      </w:r>
      <w:r>
        <w:t xml:space="preserve">- b</w:t>
      </w:r>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 R</w:t>
      </w:r>
      <w:r>
        <w:t xml:space="preserve">I corrected</w:t>
      </w:r>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4905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1583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3dcf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645af5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