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otocol-for-quantifying-co2-in-headspace-samples-with-the-shimadzu-gcms-qp2010"/>
      <w:bookmarkEnd w:id="21"/>
      <w:r>
        <w:t xml:space="preserve">Protocol for quantifying CO2 in headspace samples with the Shimadzu GCMS-QP2010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equipment"/>
      <w:bookmarkEnd w:id="22"/>
      <w:r>
        <w:t xml:space="preserve">Equipment</w:t>
      </w:r>
    </w:p>
    <w:p>
      <w:pPr>
        <w:pStyle w:val="Compact"/>
        <w:numPr>
          <w:numId w:val="1001"/>
          <w:ilvl w:val="0"/>
        </w:numPr>
      </w:pPr>
      <w:r>
        <w:t xml:space="preserve">GCMS</w:t>
      </w:r>
    </w:p>
    <w:p>
      <w:pPr>
        <w:pStyle w:val="Compact"/>
        <w:numPr>
          <w:numId w:val="1002"/>
          <w:ilvl w:val="1"/>
        </w:numPr>
      </w:pPr>
      <w:r>
        <w:t xml:space="preserve">Shimadzu GCMS-QP2010</w:t>
      </w:r>
    </w:p>
    <w:p>
      <w:pPr>
        <w:pStyle w:val="Compact"/>
        <w:numPr>
          <w:numId w:val="1001"/>
          <w:ilvl w:val="0"/>
        </w:numPr>
      </w:pPr>
      <w:r>
        <w:t xml:space="preserve">Autosampler</w:t>
      </w:r>
    </w:p>
    <w:p>
      <w:pPr>
        <w:pStyle w:val="Compact"/>
        <w:numPr>
          <w:numId w:val="1003"/>
          <w:ilvl w:val="1"/>
        </w:numPr>
      </w:pPr>
      <w:r>
        <w:t xml:space="preserve">Shimadzu AOC-5000 Auto Injector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gcms-start-up"/>
      <w:bookmarkEnd w:id="23"/>
      <w:r>
        <w:t xml:space="preserve">GCMS start up</w:t>
      </w:r>
    </w:p>
    <w:p>
      <w:pPr>
        <w:pStyle w:val="Heading2"/>
      </w:pPr>
      <w:bookmarkStart w:id="24" w:name="warnings"/>
      <w:bookmarkEnd w:id="24"/>
      <w:r>
        <w:t xml:space="preserve">WARNINGS:</w:t>
      </w:r>
    </w:p>
    <w:p>
      <w:pPr>
        <w:numPr>
          <w:numId w:val="1004"/>
          <w:ilvl w:val="0"/>
        </w:numPr>
      </w:pPr>
      <w:r>
        <w:t xml:space="preserve">You should not need to start the floor vacuum pump (rotory pump) manually. This can be done using the GCMS software.</w:t>
      </w:r>
    </w:p>
    <w:p>
      <w:pPr>
        <w:pStyle w:val="Compact"/>
        <w:numPr>
          <w:numId w:val="1004"/>
          <w:ilvl w:val="0"/>
        </w:numPr>
      </w:pPr>
      <w:r>
        <w:t xml:space="preserve">If the GCMS has not been used in a while:</w:t>
      </w:r>
    </w:p>
    <w:p>
      <w:pPr>
        <w:pStyle w:val="Compact"/>
        <w:numPr>
          <w:numId w:val="1005"/>
          <w:ilvl w:val="1"/>
        </w:numPr>
      </w:pPr>
      <w:r>
        <w:t xml:space="preserve">Check the oil level in the rotory vacuum pump (on the floor).</w:t>
      </w:r>
    </w:p>
    <w:p>
      <w:pPr>
        <w:pStyle w:val="Compact"/>
        <w:numPr>
          <w:numId w:val="1005"/>
          <w:ilvl w:val="1"/>
        </w:numPr>
      </w:pPr>
      <w:r>
        <w:t xml:space="preserve">Check the amount of carrier gas still in the tank.</w:t>
      </w:r>
    </w:p>
    <w:p>
      <w:pPr>
        <w:pStyle w:val="Heading2"/>
      </w:pPr>
      <w:bookmarkStart w:id="25" w:name="procedure"/>
      <w:bookmarkEnd w:id="25"/>
      <w:r>
        <w:t xml:space="preserve">Procedure:</w:t>
      </w:r>
    </w:p>
    <w:p>
      <w:pPr>
        <w:pStyle w:val="Compact"/>
        <w:numPr>
          <w:numId w:val="1006"/>
          <w:ilvl w:val="0"/>
        </w:numPr>
      </w:pPr>
      <w:r>
        <w:t xml:space="preserve">Turn on carrier gas (should be Helium)</w:t>
      </w:r>
    </w:p>
    <w:p>
      <w:pPr>
        <w:pStyle w:val="Compact"/>
        <w:numPr>
          <w:numId w:val="1007"/>
          <w:ilvl w:val="1"/>
        </w:numPr>
      </w:pPr>
      <w:r>
        <w:t xml:space="preserve">The PSI should be ~100</w:t>
      </w:r>
    </w:p>
    <w:p>
      <w:pPr>
        <w:pStyle w:val="Compact"/>
        <w:numPr>
          <w:numId w:val="1006"/>
          <w:ilvl w:val="0"/>
        </w:numPr>
      </w:pPr>
      <w:r>
        <w:t xml:space="preserve">Turn on Shimadzu AOC-5000 Auto Injector</w:t>
      </w:r>
    </w:p>
    <w:p>
      <w:pPr>
        <w:pStyle w:val="Compact"/>
        <w:numPr>
          <w:numId w:val="1006"/>
          <w:ilvl w:val="0"/>
        </w:numPr>
      </w:pPr>
      <w:r>
        <w:t xml:space="preserve">Turn on computer</w:t>
      </w:r>
    </w:p>
    <w:p>
      <w:pPr>
        <w:pStyle w:val="Compact"/>
        <w:numPr>
          <w:numId w:val="1006"/>
          <w:ilvl w:val="0"/>
        </w:numPr>
      </w:pPr>
      <w:r>
        <w:t xml:space="preserve">Turn on both the GC and the MS</w:t>
      </w:r>
    </w:p>
    <w:p>
      <w:pPr>
        <w:pStyle w:val="Compact"/>
        <w:numPr>
          <w:numId w:val="1006"/>
          <w:ilvl w:val="0"/>
        </w:numPr>
      </w:pPr>
      <w:r>
        <w:t xml:space="preserve">Start the</w:t>
      </w:r>
      <w:r>
        <w:t xml:space="preserve"> </w:t>
      </w:r>
      <w:r>
        <w:rPr>
          <w:b/>
        </w:rPr>
        <w:t xml:space="preserve">GCMS Real Time Analysis software</w:t>
      </w:r>
    </w:p>
    <w:p>
      <w:pPr>
        <w:pStyle w:val="Heading1"/>
      </w:pPr>
      <w:bookmarkStart w:id="26" w:name="the-next-steps-are-done-in-gcms-real-time-analysis-software"/>
      <w:bookmarkEnd w:id="26"/>
      <w:r>
        <w:t xml:space="preserve">The next steps are done in GCMS Real Time Analysis software</w:t>
      </w:r>
    </w:p>
    <w:p>
      <w:pPr>
        <w:pStyle w:val="Compact"/>
        <w:numPr>
          <w:numId w:val="1008"/>
          <w:ilvl w:val="0"/>
        </w:numPr>
      </w:pPr>
      <w:r>
        <w:t xml:space="preserve">Select</w:t>
      </w:r>
      <w:r>
        <w:t xml:space="preserve"> </w:t>
      </w:r>
      <w:r>
        <w:rPr>
          <w:b/>
        </w:rPr>
        <w:t xml:space="preserve">Vacuum control</w:t>
      </w:r>
    </w:p>
    <w:p>
      <w:pPr>
        <w:pStyle w:val="Compact"/>
        <w:numPr>
          <w:numId w:val="1008"/>
          <w:ilvl w:val="0"/>
        </w:numPr>
      </w:pPr>
      <w:r>
        <w:t xml:space="preserve">Use the manual startup ('Vacuum control' =&gt; 'advanced...')</w:t>
      </w:r>
    </w:p>
    <w:p>
      <w:pPr>
        <w:pStyle w:val="Compact"/>
        <w:numPr>
          <w:numId w:val="1009"/>
          <w:ilvl w:val="1"/>
        </w:numPr>
      </w:pPr>
      <w:r>
        <w:t xml:space="preserve">Manual startup provides more control, option for safety checks, and may produce less wear and tear.</w:t>
      </w:r>
    </w:p>
    <w:p>
      <w:pPr>
        <w:pStyle w:val="Compact"/>
        <w:numPr>
          <w:numId w:val="1009"/>
          <w:ilvl w:val="1"/>
        </w:numPr>
      </w:pPr>
      <w:r>
        <w:t xml:space="preserve">Manual startup procedure:</w:t>
      </w:r>
    </w:p>
    <w:p>
      <w:pPr>
        <w:pStyle w:val="Compact"/>
        <w:numPr>
          <w:numId w:val="1010"/>
          <w:ilvl w:val="2"/>
        </w:numPr>
      </w:pPr>
      <w:r>
        <w:t xml:space="preserve">Start the flow controller and GC system</w:t>
      </w:r>
    </w:p>
    <w:p>
      <w:pPr>
        <w:pStyle w:val="Compact"/>
        <w:numPr>
          <w:numId w:val="1010"/>
          <w:ilvl w:val="2"/>
        </w:numPr>
      </w:pPr>
      <w:r>
        <w:t xml:space="preserve">Close vent valve</w:t>
      </w:r>
    </w:p>
    <w:p>
      <w:pPr>
        <w:pStyle w:val="Compact"/>
        <w:numPr>
          <w:numId w:val="1010"/>
          <w:ilvl w:val="2"/>
        </w:numPr>
      </w:pPr>
      <w:r>
        <w:t xml:space="preserve">Turn on rotory pump</w:t>
      </w:r>
    </w:p>
    <w:p>
      <w:pPr>
        <w:pStyle w:val="Compact"/>
        <w:numPr>
          <w:numId w:val="1011"/>
          <w:ilvl w:val="3"/>
        </w:numPr>
      </w:pPr>
      <w:r>
        <w:t xml:space="preserve">Let the pressure drop to &lt;3.1 pascals</w:t>
      </w:r>
    </w:p>
    <w:p>
      <w:pPr>
        <w:pStyle w:val="Compact"/>
        <w:numPr>
          <w:numId w:val="1011"/>
          <w:ilvl w:val="3"/>
        </w:numPr>
      </w:pPr>
      <w:r>
        <w:t xml:space="preserve">This takes many minutes</w:t>
      </w:r>
    </w:p>
    <w:p>
      <w:pPr>
        <w:pStyle w:val="Compact"/>
        <w:numPr>
          <w:numId w:val="1010"/>
          <w:ilvl w:val="2"/>
        </w:numPr>
      </w:pPr>
      <w:r>
        <w:t xml:space="preserve">AFTER pressure is &lt;3.1 pascals: turn on high pressure pump (ie., the turbo molecular pump)</w:t>
      </w:r>
    </w:p>
    <w:p>
      <w:pPr>
        <w:pStyle w:val="Compact"/>
        <w:numPr>
          <w:numId w:val="1012"/>
          <w:ilvl w:val="3"/>
        </w:numPr>
      </w:pPr>
      <w:r>
        <w:rPr>
          <w:b/>
        </w:rPr>
        <w:t xml:space="preserve">Note:</w:t>
      </w:r>
      <w:r>
        <w:t xml:space="preserve"> </w:t>
      </w:r>
      <w:r>
        <w:t xml:space="preserve">A sound resembling a jet engine is normal, as long as it only lasts &lt; a minute.</w:t>
      </w:r>
    </w:p>
    <w:p>
      <w:pPr>
        <w:pStyle w:val="Compact"/>
        <w:numPr>
          <w:numId w:val="1010"/>
          <w:ilvl w:val="2"/>
        </w:numPr>
      </w:pPr>
      <w:r>
        <w:t xml:space="preserve">Turn on ion source heater</w:t>
      </w:r>
    </w:p>
    <w:p>
      <w:pPr>
        <w:pStyle w:val="Compact"/>
        <w:numPr>
          <w:numId w:val="1013"/>
          <w:ilvl w:val="3"/>
        </w:numPr>
      </w:pPr>
      <w:r>
        <w:t xml:space="preserve">GC and MS indicators in top right of screen should soon say 'ready'</w:t>
      </w:r>
    </w:p>
    <w:p>
      <w:pPr>
        <w:pStyle w:val="Compact"/>
        <w:numPr>
          <w:numId w:val="1008"/>
          <w:ilvl w:val="0"/>
        </w:numPr>
      </w:pPr>
      <w:r>
        <w:t xml:space="preserve">Load a method or create a new method</w:t>
      </w:r>
    </w:p>
    <w:p>
      <w:pPr>
        <w:pStyle w:val="Compact"/>
        <w:numPr>
          <w:numId w:val="1014"/>
          <w:ilvl w:val="1"/>
        </w:numPr>
      </w:pPr>
      <w:r>
        <w:t xml:space="preserve">Make sure that GC and MS are heating up to the method's specified temps</w:t>
      </w:r>
    </w:p>
    <w:p>
      <w:pPr>
        <w:pStyle w:val="Compact"/>
        <w:numPr>
          <w:numId w:val="1014"/>
          <w:ilvl w:val="1"/>
        </w:numPr>
      </w:pPr>
      <w:r>
        <w:t xml:space="preserve">A batch file can then be created if needed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gcms-tuning"/>
      <w:bookmarkEnd w:id="27"/>
      <w:r>
        <w:t xml:space="preserve">GCMS tuning</w:t>
      </w:r>
    </w:p>
    <w:p>
      <w:pPr>
        <w:pStyle w:val="Heading2"/>
      </w:pPr>
      <w:bookmarkStart w:id="28" w:name="warnings-1"/>
      <w:bookmarkEnd w:id="28"/>
      <w:r>
        <w:t xml:space="preserve">WARNINGS:</w:t>
      </w:r>
    </w:p>
    <w:p>
      <w:pPr>
        <w:pStyle w:val="Compact"/>
        <w:numPr>
          <w:numId w:val="1015"/>
          <w:ilvl w:val="0"/>
        </w:numPr>
      </w:pPr>
      <w:r>
        <w:t xml:space="preserve">If the GCMS has not been used in a long time (e.g., a year), wait ~1 day prior to tuning.</w:t>
      </w:r>
    </w:p>
    <w:p>
      <w:pPr>
        <w:pStyle w:val="Compact"/>
        <w:numPr>
          <w:numId w:val="1016"/>
          <w:ilvl w:val="1"/>
        </w:numPr>
      </w:pPr>
      <w:r>
        <w:t xml:space="preserve">This wait provides time for the column to be purged of contaminants.</w:t>
      </w:r>
    </w:p>
    <w:p>
      <w:pPr>
        <w:pStyle w:val="Heading2"/>
      </w:pPr>
      <w:bookmarkStart w:id="29" w:name="procedure-1"/>
      <w:bookmarkEnd w:id="29"/>
      <w:r>
        <w:t xml:space="preserve">Procedure:</w:t>
      </w:r>
    </w:p>
    <w:p>
      <w:pPr>
        <w:pStyle w:val="Compact"/>
        <w:numPr>
          <w:numId w:val="1017"/>
          <w:ilvl w:val="0"/>
        </w:numPr>
      </w:pPr>
      <w:r>
        <w:t xml:space="preserve">Follow procedure starting on Page 21 of the GCMS-QP2010 Operation Guide.</w:t>
      </w:r>
    </w:p>
    <w:p>
      <w:pPr>
        <w:pStyle w:val="Heading3"/>
      </w:pPr>
      <w:bookmarkStart w:id="30" w:name="leak-check"/>
      <w:bookmarkEnd w:id="30"/>
      <w:r>
        <w:t xml:space="preserve">Leak check:</w:t>
      </w:r>
    </w:p>
    <w:p>
      <w:pPr>
        <w:pStyle w:val="Compact"/>
        <w:numPr>
          <w:numId w:val="1018"/>
          <w:ilvl w:val="0"/>
        </w:numPr>
      </w:pPr>
      <w:r>
        <w:t xml:space="preserve">Follow procedure outlined on Page 19 of the GCMS-QP2010 Operation Guide.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gcms-sample-processing"/>
      <w:bookmarkEnd w:id="31"/>
      <w:r>
        <w:t xml:space="preserve">GCMS sample processing</w:t>
      </w:r>
    </w:p>
    <w:p>
      <w:pPr>
        <w:pStyle w:val="Heading2"/>
      </w:pPr>
      <w:bookmarkStart w:id="32" w:name="notes"/>
      <w:bookmarkEnd w:id="32"/>
      <w:r>
        <w:t xml:space="preserve">Notes:</w:t>
      </w:r>
    </w:p>
    <w:p>
      <w:pPr>
        <w:pStyle w:val="Compact"/>
        <w:numPr>
          <w:numId w:val="1019"/>
          <w:ilvl w:val="0"/>
        </w:numPr>
      </w:pPr>
      <w:r>
        <w:t xml:space="preserve">The septum can be changed while the GC is on. The carrier gas flow will just need to be turned off very briefly prior to changing the septum.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3" w:name="gcms-shut-down"/>
      <w:bookmarkEnd w:id="33"/>
      <w:r>
        <w:t xml:space="preserve">GCMS shut down</w:t>
      </w:r>
    </w:p>
    <w:p>
      <w:pPr>
        <w:pStyle w:val="Compact"/>
        <w:numPr>
          <w:numId w:val="1020"/>
          <w:ilvl w:val="0"/>
        </w:numPr>
      </w:pPr>
      <w:r>
        <w:t xml:space="preserve">Use manual shutdown.</w:t>
      </w:r>
    </w:p>
    <w:p>
      <w:pPr>
        <w:pStyle w:val="Compact"/>
        <w:numPr>
          <w:numId w:val="1021"/>
          <w:ilvl w:val="1"/>
        </w:numPr>
      </w:pPr>
      <w:r>
        <w:t xml:space="preserve">Auto shutdown does not give enough time between the turbo molecular pump shutdown and the vacuum pump shutdown.</w:t>
      </w:r>
    </w:p>
    <w:p>
      <w:pPr>
        <w:pStyle w:val="Compact"/>
        <w:numPr>
          <w:numId w:val="1020"/>
          <w:ilvl w:val="0"/>
        </w:numPr>
      </w:pPr>
      <w:r>
        <w:t xml:space="preserve">Wait for the GC to cool before turning off the carrier gas.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general-notes"/>
      <w:bookmarkEnd w:id="34"/>
      <w:r>
        <w:t xml:space="preserve">General notes</w:t>
      </w:r>
    </w:p>
    <w:p>
      <w:pPr>
        <w:pStyle w:val="Compact"/>
        <w:numPr>
          <w:numId w:val="1022"/>
          <w:ilvl w:val="0"/>
        </w:numPr>
      </w:pPr>
      <w:r>
        <w:t xml:space="preserve">The blue septa may provide a better seal than the green septa (for higher temps).</w:t>
      </w:r>
    </w:p>
    <w:p>
      <w:pPr>
        <w:pStyle w:val="Compact"/>
        <w:numPr>
          <w:numId w:val="1022"/>
          <w:ilvl w:val="0"/>
        </w:numPr>
      </w:pPr>
      <w:r>
        <w:t xml:space="preserve">The rotory vacuum oil should be changed every 6 months.</w:t>
      </w:r>
    </w:p>
    <w:p>
      <w:pPr>
        <w:pStyle w:val="Compact"/>
        <w:numPr>
          <w:numId w:val="1022"/>
          <w:ilvl w:val="0"/>
        </w:numPr>
      </w:pPr>
      <w:r>
        <w:t xml:space="preserve">Replate the injection port glass liner (contains glass wool) after ~1000 injections.</w:t>
      </w:r>
    </w:p>
    <w:p>
      <w:pPr>
        <w:pStyle w:val="Compact"/>
        <w:numPr>
          <w:numId w:val="1023"/>
          <w:ilvl w:val="1"/>
        </w:numPr>
      </w:pPr>
      <w:r>
        <w:t xml:space="preserve">This helps prevent the liner from fusing to the injection port.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5" w:name="notes-on-carboxen-1010-plot-column"/>
      <w:bookmarkEnd w:id="35"/>
      <w:r>
        <w:t xml:space="preserve">Notes on Carboxen 1010 PLOT column</w:t>
      </w:r>
    </w:p>
    <w:p>
      <w:pPr>
        <w:pStyle w:val="Compact"/>
        <w:numPr>
          <w:numId w:val="1024"/>
          <w:ilvl w:val="0"/>
        </w:numPr>
      </w:pPr>
      <w:r>
        <w:t xml:space="preserve">Bake at 200</w:t>
      </w:r>
      <w:r>
        <w:t xml:space="preserve">o</w:t>
      </w:r>
      <w:r>
        <w:t xml:space="preserve">C for 1-2 hours if column disconnected for &lt; 1 day.</w:t>
      </w:r>
    </w:p>
    <w:p>
      <w:pPr>
        <w:pStyle w:val="Compact"/>
        <w:numPr>
          <w:numId w:val="1024"/>
          <w:ilvl w:val="0"/>
        </w:numPr>
      </w:pPr>
      <w:r>
        <w:t xml:space="preserve">If it is diconnected for &gt;1 day, bake overnight at 200</w:t>
      </w:r>
      <w:r>
        <w:t xml:space="preserve">o</w:t>
      </w:r>
      <w:r>
        <w:t xml:space="preserve">C.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5430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caf00d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1a1f20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