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high-throughput-phospholipid-extraction-from-soil-protocol"/>
      <w:bookmarkEnd w:id="21"/>
      <w:r>
        <w:t xml:space="preserve">High-throughput phospholipid extraction from soil protocol</w:t>
      </w:r>
    </w:p>
    <w:p>
      <w:r>
        <w:rPr>
          <w:b/>
        </w:rPr>
        <w:t xml:space="preserve">NOTE: this is a work-in-progress</w:t>
      </w:r>
    </w:p>
    <w:p>
      <w:pPr>
        <w:pStyle w:val="Compact"/>
        <w:numPr>
          <w:numId w:val="1001"/>
          <w:ilvl w:val="0"/>
        </w:numPr>
      </w:pPr>
      <w:r>
        <w:t xml:space="preserve">Based on Buyer and Sasser 2012. Applied Soil Ecology</w:t>
      </w:r>
    </w:p>
    <w:p>
      <w:pPr>
        <w:pStyle w:val="Compact"/>
        <w:numPr>
          <w:numId w:val="1002"/>
          <w:ilvl w:val="1"/>
        </w:numPr>
      </w:pPr>
      <w:hyperlink r:id="rId22">
        <w:r>
          <w:rPr>
            <w:rStyle w:val="Link"/>
          </w:rPr>
          <w:t xml:space="preserve">link</w:t>
        </w:r>
      </w:hyperlink>
    </w:p>
    <w:p>
      <w:pPr>
        <w:pStyle w:val="Heading2"/>
      </w:pPr>
      <w:bookmarkStart w:id="23" w:name="authorship"/>
      <w:bookmarkEnd w:id="23"/>
      <w:r>
        <w:t xml:space="preserve">Authorship</w:t>
      </w:r>
    </w:p>
    <w:p>
      <w:r>
        <w:t xml:space="preserve">Nick Youngblut (2015)</w:t>
      </w:r>
    </w:p>
    <w:p>
      <w:pPr>
        <w:pStyle w:val="Heading2"/>
      </w:pPr>
      <w:bookmarkStart w:id="24" w:name="equipment-needed"/>
      <w:bookmarkEnd w:id="24"/>
      <w:r>
        <w:t xml:space="preserve">Equipment needed</w:t>
      </w:r>
    </w:p>
    <w:p>
      <w:pPr>
        <w:pStyle w:val="Compact"/>
        <w:numPr>
          <w:numId w:val="1003"/>
          <w:ilvl w:val="0"/>
        </w:numPr>
      </w:pPr>
      <w:r>
        <w:t xml:space="preserve">sonication bath</w:t>
      </w:r>
    </w:p>
    <w:p>
      <w:pPr>
        <w:pStyle w:val="Compact"/>
        <w:numPr>
          <w:numId w:val="1003"/>
          <w:ilvl w:val="0"/>
        </w:numPr>
      </w:pPr>
      <w:r>
        <w:t xml:space="preserve">tube rotator</w:t>
      </w:r>
    </w:p>
    <w:p>
      <w:pPr>
        <w:pStyle w:val="Compact"/>
        <w:numPr>
          <w:numId w:val="1003"/>
          <w:ilvl w:val="0"/>
        </w:numPr>
      </w:pPr>
      <w:r>
        <w:t xml:space="preserve">speed-vac</w:t>
      </w:r>
    </w:p>
    <w:p>
      <w:pPr>
        <w:pStyle w:val="Compact"/>
        <w:numPr>
          <w:numId w:val="1004"/>
          <w:ilvl w:val="1"/>
        </w:numPr>
      </w:pPr>
      <w:r>
        <w:t xml:space="preserve">swinging bucket cfg-evaporator?</w:t>
      </w:r>
    </w:p>
    <w:p>
      <w:pPr>
        <w:pStyle w:val="Compact"/>
        <w:numPr>
          <w:numId w:val="1004"/>
          <w:ilvl w:val="1"/>
        </w:numPr>
      </w:pPr>
      <w:r>
        <w:t xml:space="preserve">freeze drier?</w:t>
      </w:r>
    </w:p>
    <w:p>
      <w:pPr>
        <w:pStyle w:val="Compact"/>
        <w:numPr>
          <w:numId w:val="1003"/>
          <w:ilvl w:val="0"/>
        </w:numPr>
      </w:pPr>
      <w:r>
        <w:t xml:space="preserve">SPE plate</w:t>
      </w:r>
    </w:p>
    <w:p>
      <w:pPr>
        <w:pStyle w:val="Compact"/>
        <w:numPr>
          <w:numId w:val="1003"/>
          <w:ilvl w:val="0"/>
        </w:numPr>
      </w:pPr>
      <w:r>
        <w:t xml:space="preserve">1.5 ml glass vials</w:t>
      </w:r>
    </w:p>
    <w:p>
      <w:pPr>
        <w:pStyle w:val="Compact"/>
        <w:numPr>
          <w:numId w:val="1003"/>
          <w:ilvl w:val="0"/>
        </w:numPr>
      </w:pPr>
      <w:r>
        <w:t xml:space="preserve">1 ml vials</w:t>
      </w:r>
    </w:p>
    <w:p>
      <w:pPr>
        <w:pStyle w:val="Compact"/>
        <w:numPr>
          <w:numId w:val="1003"/>
          <w:ilvl w:val="0"/>
        </w:numPr>
      </w:pPr>
      <w:r>
        <w:t xml:space="preserve">96-well Multi-Tier Micro Plate System</w:t>
      </w:r>
    </w:p>
    <w:p>
      <w:pPr>
        <w:pStyle w:val="Compact"/>
        <w:numPr>
          <w:numId w:val="1005"/>
          <w:ilvl w:val="1"/>
        </w:numPr>
      </w:pPr>
      <w:r>
        <w:t xml:space="preserve">for 1.5 ml and 1 ml vials</w:t>
      </w:r>
    </w:p>
    <w:p>
      <w:pPr>
        <w:pStyle w:val="Compact"/>
        <w:numPr>
          <w:numId w:val="1003"/>
          <w:ilvl w:val="0"/>
        </w:numPr>
      </w:pPr>
      <w:r>
        <w:t xml:space="preserve">Agilent Ultra 2 column</w:t>
      </w:r>
    </w:p>
    <w:p>
      <w:pPr>
        <w:pStyle w:val="Compact"/>
        <w:numPr>
          <w:numId w:val="1006"/>
          <w:ilvl w:val="1"/>
        </w:numPr>
      </w:pPr>
      <w:r>
        <w:t xml:space="preserve">25 m long × 0.2 mm internal diameter × 0.33 m film thickness</w:t>
      </w:r>
    </w:p>
    <w:p>
      <w:pPr>
        <w:pStyle w:val="Compact"/>
        <w:numPr>
          <w:numId w:val="1003"/>
          <w:ilvl w:val="0"/>
        </w:numPr>
      </w:pPr>
      <w:r>
        <w:t xml:space="preserve">GC-FID</w:t>
      </w:r>
    </w:p>
    <w:p>
      <w:pPr>
        <w:pStyle w:val="Compact"/>
        <w:numPr>
          <w:numId w:val="1007"/>
          <w:ilvl w:val="1"/>
        </w:numPr>
      </w:pPr>
      <w:r>
        <w:t xml:space="preserve">To get PLFA concentrations</w:t>
      </w:r>
    </w:p>
    <w:p>
      <w:pPr>
        <w:pStyle w:val="Heading2"/>
      </w:pPr>
      <w:bookmarkStart w:id="25" w:name="reagents-needed"/>
      <w:bookmarkEnd w:id="25"/>
      <w:r>
        <w:t xml:space="preserve">reagents needed</w:t>
      </w:r>
    </w:p>
    <w:p>
      <w:pPr>
        <w:pStyle w:val="Compact"/>
        <w:numPr>
          <w:numId w:val="1008"/>
          <w:ilvl w:val="0"/>
        </w:numPr>
      </w:pPr>
      <w:r>
        <w:t xml:space="preserve">K2HPO4</w:t>
      </w:r>
    </w:p>
    <w:p>
      <w:pPr>
        <w:pStyle w:val="Compact"/>
        <w:numPr>
          <w:numId w:val="1008"/>
          <w:ilvl w:val="0"/>
        </w:numPr>
      </w:pPr>
      <w:r>
        <w:t xml:space="preserve">phosphatidylcholine</w:t>
      </w:r>
    </w:p>
    <w:p>
      <w:pPr>
        <w:pStyle w:val="Compact"/>
        <w:numPr>
          <w:numId w:val="1009"/>
          <w:ilvl w:val="1"/>
        </w:numPr>
      </w:pPr>
      <w:r>
        <w:t xml:space="preserve">internal standard</w:t>
      </w:r>
    </w:p>
    <w:p>
      <w:pPr>
        <w:pStyle w:val="Compact"/>
        <w:numPr>
          <w:numId w:val="1008"/>
          <w:ilvl w:val="0"/>
        </w:numPr>
      </w:pPr>
      <w:r>
        <w:t xml:space="preserve">1:1 chloroform:methanol</w:t>
      </w:r>
    </w:p>
    <w:p>
      <w:pPr>
        <w:pStyle w:val="Compact"/>
        <w:numPr>
          <w:numId w:val="1008"/>
          <w:ilvl w:val="0"/>
        </w:numPr>
      </w:pPr>
      <w:r>
        <w:t xml:space="preserve">KOH</w:t>
      </w:r>
    </w:p>
    <w:p>
      <w:pPr>
        <w:pStyle w:val="Compact"/>
        <w:numPr>
          <w:numId w:val="1008"/>
          <w:ilvl w:val="0"/>
        </w:numPr>
      </w:pPr>
      <w:r>
        <w:t xml:space="preserve">methanol</w:t>
      </w:r>
    </w:p>
    <w:p>
      <w:pPr>
        <w:pStyle w:val="Compact"/>
        <w:numPr>
          <w:numId w:val="1008"/>
          <w:ilvl w:val="0"/>
        </w:numPr>
      </w:pPr>
      <w:r>
        <w:t xml:space="preserve">toluene</w:t>
      </w:r>
    </w:p>
    <w:p>
      <w:pPr>
        <w:pStyle w:val="Compact"/>
        <w:numPr>
          <w:numId w:val="1008"/>
          <w:ilvl w:val="0"/>
        </w:numPr>
      </w:pPr>
      <w:r>
        <w:t xml:space="preserve">acetone</w:t>
      </w:r>
    </w:p>
    <w:p>
      <w:pPr>
        <w:pStyle w:val="Compact"/>
        <w:numPr>
          <w:numId w:val="1008"/>
          <w:ilvl w:val="0"/>
        </w:numPr>
      </w:pPr>
      <w:r>
        <w:t xml:space="preserve">5:5:1 methanol:chloroform:H2O</w:t>
      </w:r>
    </w:p>
    <w:p>
      <w:pPr>
        <w:pStyle w:val="Compact"/>
        <w:numPr>
          <w:numId w:val="1008"/>
          <w:ilvl w:val="0"/>
        </w:numPr>
      </w:pPr>
      <w:r>
        <w:t xml:space="preserve">transesterification reagent</w:t>
      </w:r>
    </w:p>
    <w:p>
      <w:pPr>
        <w:pStyle w:val="Compact"/>
        <w:numPr>
          <w:numId w:val="1008"/>
          <w:ilvl w:val="0"/>
        </w:numPr>
      </w:pPr>
      <w:r>
        <w:t xml:space="preserve">acetic acid</w:t>
      </w:r>
    </w:p>
    <w:p>
      <w:pPr>
        <w:pStyle w:val="Compact"/>
        <w:numPr>
          <w:numId w:val="1008"/>
          <w:ilvl w:val="0"/>
        </w:numPr>
      </w:pPr>
      <w:r>
        <w:t xml:space="preserve">hexane</w:t>
      </w:r>
    </w:p>
    <w:p>
      <w:pPr>
        <w:pStyle w:val="Heading2"/>
      </w:pPr>
      <w:bookmarkStart w:id="26" w:name="existing-protocols"/>
      <w:bookmarkEnd w:id="26"/>
      <w:r>
        <w:t xml:space="preserve">existing protocols</w:t>
      </w:r>
    </w:p>
    <w:p>
      <w:pPr>
        <w:pStyle w:val="Compact"/>
        <w:numPr>
          <w:numId w:val="1010"/>
          <w:ilvl w:val="0"/>
        </w:numPr>
      </w:pPr>
      <w:hyperlink r:id="rId27">
        <w:r>
          <w:rPr>
            <w:rStyle w:val="Link"/>
          </w:rPr>
          <w:t xml:space="preserve">Blaser</w:t>
        </w:r>
      </w:hyperlink>
    </w:p>
    <w:p>
      <w:pPr>
        <w:pStyle w:val="Compact"/>
        <w:numPr>
          <w:numId w:val="1010"/>
          <w:ilvl w:val="0"/>
        </w:numPr>
      </w:pPr>
      <w:hyperlink r:id="rId28">
        <w:r>
          <w:rPr>
            <w:rStyle w:val="Link"/>
          </w:rPr>
          <w:t xml:space="preserve">wsu</w:t>
        </w:r>
      </w:hyperlink>
    </w:p>
    <w:p>
      <w:pPr>
        <w:pStyle w:val="Heading2"/>
      </w:pPr>
      <w:bookmarkStart w:id="29" w:name="paying-for-the-service"/>
      <w:bookmarkEnd w:id="29"/>
      <w:r>
        <w:t xml:space="preserve">Paying for the service</w:t>
      </w:r>
    </w:p>
    <w:p>
      <w:pPr>
        <w:pStyle w:val="Compact"/>
        <w:numPr>
          <w:numId w:val="1011"/>
          <w:ilvl w:val="0"/>
        </w:numPr>
      </w:pPr>
      <w:hyperlink r:id="rId30">
        <w:r>
          <w:rPr>
            <w:rStyle w:val="Link"/>
          </w:rPr>
          <w:t xml:space="preserve">Ward Labs</w:t>
        </w:r>
      </w:hyperlink>
    </w:p>
    <w:p>
      <w:pPr>
        <w:pStyle w:val="Heading2"/>
      </w:pPr>
      <w:bookmarkStart w:id="31" w:name="cornell-groups-doing-plfa"/>
      <w:bookmarkEnd w:id="31"/>
      <w:r>
        <w:t xml:space="preserve">Cornell groups doing PLFA</w:t>
      </w:r>
    </w:p>
    <w:p>
      <w:pPr>
        <w:pStyle w:val="Compact"/>
        <w:numPr>
          <w:numId w:val="1012"/>
          <w:ilvl w:val="0"/>
        </w:numPr>
      </w:pPr>
      <w:hyperlink r:id="rId32">
        <w:r>
          <w:rPr>
            <w:rStyle w:val="Link"/>
          </w:rPr>
          <w:t xml:space="preserve">Kao-Kniffin &amp; Zhu</w:t>
        </w:r>
      </w:hyperlink>
    </w:p>
    <w:p>
      <w:pPr>
        <w:pStyle w:val="Heading2"/>
      </w:pPr>
      <w:bookmarkStart w:id="33" w:name="gc-columns-used-in-other-studies"/>
      <w:bookmarkEnd w:id="33"/>
      <w:r>
        <w:t xml:space="preserve">GC columns used in other studies</w:t>
      </w:r>
    </w:p>
    <w:p>
      <w:pPr>
        <w:pStyle w:val="Compact"/>
        <w:numPr>
          <w:numId w:val="1013"/>
          <w:ilvl w:val="0"/>
        </w:numPr>
      </w:pPr>
      <w:hyperlink r:id="rId34">
        <w:r>
          <w:rPr>
            <w:rStyle w:val="Link"/>
          </w:rPr>
          <w:t xml:space="preserve">Mohanty et al., 2006</w:t>
        </w:r>
      </w:hyperlink>
    </w:p>
    <w:p>
      <w:pPr>
        <w:pStyle w:val="Compact"/>
        <w:numPr>
          <w:numId w:val="1013"/>
          <w:ilvl w:val="0"/>
        </w:numPr>
      </w:pPr>
      <w:hyperlink r:id="rId35">
        <w:r>
          <w:rPr>
            <w:rStyle w:val="Link"/>
          </w:rPr>
          <w:t xml:space="preserve">link</w:t>
        </w:r>
      </w:hyperlink>
    </w:p>
    <w:p>
      <w:pPr>
        <w:pStyle w:val="Compact"/>
        <w:numPr>
          <w:numId w:val="1015"/>
          <w:ilvl w:val="1"/>
        </w:numPr>
      </w:pPr>
      <w:r>
        <w:t xml:space="preserve">CP-Sil 5CB-fused silica capillary column</w:t>
      </w:r>
    </w:p>
    <w:p>
      <w:pPr>
        <w:pStyle w:val="Compact"/>
        <w:numPr>
          <w:numId w:val="1016"/>
          <w:ilvl w:val="2"/>
        </w:numPr>
      </w:pPr>
      <w:r>
        <w:t xml:space="preserve">60 m × 0.32 mm inner diameter; 0.25 μm film thickness</w:t>
      </w:r>
    </w:p>
    <w:p>
      <w:pPr>
        <w:pStyle w:val="Compact"/>
        <w:numPr>
          <w:numId w:val="1013"/>
          <w:ilvl w:val="0"/>
        </w:numPr>
      </w:pPr>
      <w:hyperlink r:id="rId34">
        <w:r>
          <w:rPr>
            <w:rStyle w:val="Link"/>
          </w:rPr>
          <w:t xml:space="preserve">link</w:t>
        </w:r>
      </w:hyperlink>
    </w:p>
    <w:p>
      <w:pPr>
        <w:pStyle w:val="Compact"/>
        <w:numPr>
          <w:numId w:val="1017"/>
          <w:ilvl w:val="1"/>
        </w:numPr>
      </w:pPr>
      <w:r>
        <w:t xml:space="preserve">polar capillary column</w:t>
      </w:r>
    </w:p>
    <w:p>
      <w:pPr>
        <w:pStyle w:val="Compact"/>
        <w:numPr>
          <w:numId w:val="1018"/>
          <w:ilvl w:val="2"/>
        </w:numPr>
      </w:pPr>
      <w:r>
        <w:t xml:space="preserve">SGE, BPX-70;50 m by 0.32 mm by 0.25m</w:t>
      </w:r>
    </w:p>
    <w:p>
      <w:pPr>
        <w:pStyle w:val="Heading3"/>
      </w:pPr>
      <w:bookmarkStart w:id="36" w:name="gc-ms-used"/>
      <w:bookmarkEnd w:id="36"/>
      <w:r>
        <w:t xml:space="preserve">GC-MS used</w:t>
      </w:r>
    </w:p>
    <w:p>
      <w:pPr>
        <w:pStyle w:val="Compact"/>
        <w:numPr>
          <w:numId w:val="1019"/>
          <w:ilvl w:val="0"/>
        </w:numPr>
      </w:pPr>
      <w:hyperlink r:id="rId37">
        <w:r>
          <w:rPr>
            <w:rStyle w:val="Link"/>
          </w:rPr>
          <w:t xml:space="preserve">link</w:t>
        </w:r>
      </w:hyperlink>
    </w:p>
    <w:p>
      <w:pPr>
        <w:pStyle w:val="Compact"/>
        <w:numPr>
          <w:numId w:val="1019"/>
          <w:ilvl w:val="0"/>
        </w:numPr>
      </w:pPr>
      <w:hyperlink r:id="rId35">
        <w:r>
          <w:rPr>
            <w:rStyle w:val="Link"/>
          </w:rPr>
          <w:t xml:space="preserve">link</w:t>
        </w:r>
      </w:hyperlink>
    </w:p>
    <w:p>
      <w:pPr>
        <w:pStyle w:val="Heading2"/>
      </w:pPr>
      <w:bookmarkStart w:id="38" w:name="transforming-plfa-concentrations-to-cell-numbers"/>
      <w:bookmarkEnd w:id="38"/>
      <w:r>
        <w:t xml:space="preserve">transforming PLFA concentrations to cell numbers</w:t>
      </w:r>
    </w:p>
    <w:p>
      <w:pPr>
        <w:pStyle w:val="Compact"/>
        <w:numPr>
          <w:numId w:val="1020"/>
          <w:ilvl w:val="0"/>
        </w:numPr>
      </w:pPr>
      <w:hyperlink r:id="rId39">
        <w:r>
          <w:rPr>
            <w:rStyle w:val="Link"/>
          </w:rPr>
          <w:t xml:space="preserve">link</w:t>
        </w:r>
      </w:hyperlink>
    </w:p>
    <w:p>
      <w:pPr>
        <w:pStyle w:val="Compact"/>
        <w:numPr>
          <w:numId w:val="1021"/>
          <w:ilvl w:val="1"/>
        </w:numPr>
      </w:pPr>
      <w:r>
        <w:t xml:space="preserve">1.4 x 10^-17 mol of bacterial PLFA per cell</w:t>
      </w:r>
    </w:p>
    <w:p>
      <w:pPr>
        <w:pStyle w:val="Compact"/>
        <w:numPr>
          <w:numId w:val="1020"/>
          <w:ilvl w:val="0"/>
        </w:numPr>
      </w:pPr>
      <w:hyperlink r:id="rId40">
        <w:r>
          <w:rPr>
            <w:rStyle w:val="Link"/>
          </w:rPr>
          <w:t xml:space="preserve">link</w:t>
        </w:r>
      </w:hyperlink>
    </w:p>
    <w:p>
      <w:pPr>
        <w:pStyle w:val="Compact"/>
        <w:numPr>
          <w:numId w:val="1020"/>
          <w:ilvl w:val="0"/>
        </w:numPr>
      </w:pPr>
      <w:r>
        <w:t xml:space="preserve">Comparison of chloroform fumigation-extraction, phospholipid fatty acid, and DNA methods to determine microbial biomass in forest humus</w:t>
      </w:r>
    </w:p>
    <w:p>
      <w:pPr>
        <w:pStyle w:val="Compact"/>
        <w:numPr>
          <w:numId w:val="1022"/>
          <w:ilvl w:val="1"/>
        </w:numPr>
      </w:pPr>
      <w:r>
        <w:t xml:space="preserve">CFE_flush = 3.2(total_PLFA) - 1287</w:t>
      </w:r>
    </w:p>
    <w:p>
      <w:pPr>
        <w:pStyle w:val="Heading2"/>
      </w:pPr>
      <w:bookmarkStart w:id="41" w:name="converting-dna-to-biomass-c"/>
      <w:bookmarkEnd w:id="41"/>
      <w:r>
        <w:t xml:space="preserve">converting [DNA] to biomass C</w:t>
      </w:r>
    </w:p>
    <w:p>
      <w:pPr>
        <w:pStyle w:val="Compact"/>
        <w:numPr>
          <w:numId w:val="1023"/>
          <w:ilvl w:val="0"/>
        </w:numPr>
      </w:pPr>
      <w:r>
        <w:t xml:space="preserve">Relationship between dsDNA, chloroform labile C and ergosterol in soils of di􏰈erent organic matter contents and pH</w:t>
      </w:r>
    </w:p>
    <w:p>
      <w:pPr>
        <w:pStyle w:val="Compact"/>
        <w:numPr>
          <w:numId w:val="1024"/>
          <w:ilvl w:val="1"/>
        </w:numPr>
      </w:pPr>
      <w:hyperlink r:id="rId42">
        <w:r>
          <w:rPr>
            <w:rStyle w:val="Link"/>
          </w:rPr>
          <w:t xml:space="preserve">link</w:t>
        </w:r>
      </w:hyperlink>
    </w:p>
    <w:p>
      <w:pPr>
        <w:pStyle w:val="Compact"/>
        <w:numPr>
          <w:numId w:val="1024"/>
          <w:ilvl w:val="1"/>
        </w:numPr>
      </w:pPr>
      <w:r>
        <w:t xml:space="preserve">dsDNA = 0.477 * chloroform-labile C</w:t>
      </w:r>
    </w:p>
    <w:p>
      <w:pPr>
        <w:pStyle w:val="Heading1"/>
      </w:pPr>
      <w:bookmarkStart w:id="43" w:name="alternative-phospholipid-extraction-from-soil-protocols"/>
      <w:bookmarkEnd w:id="43"/>
      <w:r>
        <w:t xml:space="preserve">Alternative phospholipid extraction from soil protocols</w:t>
      </w:r>
    </w:p>
    <w:p>
      <w:pPr>
        <w:pStyle w:val="Compact"/>
        <w:numPr>
          <w:numId w:val="1025"/>
          <w:ilvl w:val="0"/>
        </w:numPr>
      </w:pPr>
      <w:hyperlink r:id="rId44">
        <w:r>
          <w:rPr>
            <w:rStyle w:val="Link"/>
          </w:rPr>
          <w:t xml:space="preserve">link</w:t>
        </w:r>
      </w:hyperlink>
    </w:p>
    <w:p>
      <w:pPr>
        <w:pStyle w:val="Compact"/>
        <w:numPr>
          <w:numId w:val="1025"/>
          <w:ilvl w:val="0"/>
        </w:numPr>
      </w:pPr>
      <w:r>
        <w:t xml:space="preserve">PFLA methods review</w:t>
      </w:r>
    </w:p>
    <w:p>
      <w:pPr>
        <w:pStyle w:val="Compact"/>
        <w:numPr>
          <w:numId w:val="1026"/>
          <w:ilvl w:val="1"/>
        </w:numPr>
      </w:pPr>
      <w:hyperlink r:id="rId45">
        <w:r>
          <w:rPr>
            <w:rStyle w:val="Link"/>
          </w:rPr>
          <w:t xml:space="preserve">link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3ad6dd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9d766e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4" Target="http://aem.asm.org/content/72/2/1346.full.pdf+html" TargetMode="External" /><Relationship Type="http://schemas.openxmlformats.org/officeDocument/2006/relationships/hyperlink" Id="rId44" Target="http://journals.plos.org/plosone/article?id=10.1371/journal.pone.0115775#s2" TargetMode="External" /><Relationship Type="http://schemas.openxmlformats.org/officeDocument/2006/relationships/hyperlink" Id="rId39" Target="http://link.springer.com/article/10.1007%2FBF00384433" TargetMode="External" /><Relationship Type="http://schemas.openxmlformats.org/officeDocument/2006/relationships/hyperlink" Id="rId32" Target="http://link.springer.com/article/10.1007%2Fs00248-013-0254-8" TargetMode="External" /><Relationship Type="http://schemas.openxmlformats.org/officeDocument/2006/relationships/hyperlink" Id="rId27" Target="http://nature.berkeley.edu/soilmicro/methods/BalserPLFA.pdf" TargetMode="External" /><Relationship Type="http://schemas.openxmlformats.org/officeDocument/2006/relationships/hyperlink" Id="rId35" Target="http://onlinelibrary.wiley.com/doi/10.1111/j.1462-2920.2007.01466.x/full" TargetMode="External" /><Relationship Type="http://schemas.openxmlformats.org/officeDocument/2006/relationships/hyperlink" Id="rId28" Target="http://vegetables.wsu.edu/scri/PLFA_protocolsOnly.pdf" TargetMode="External" /><Relationship Type="http://schemas.openxmlformats.org/officeDocument/2006/relationships/hyperlink" Id="rId30" Target="http://wardlab.com/FeeSchedule/WardLabs_FeeSchedule_Web.pdf#page=4" TargetMode="External" /><Relationship Type="http://schemas.openxmlformats.org/officeDocument/2006/relationships/hyperlink" Id="rId22" Target="http://www.midi-inc.com/pdf/Rapid_PLFA_Extraction.pdf" TargetMode="External" /><Relationship Type="http://schemas.openxmlformats.org/officeDocument/2006/relationships/hyperlink" Id="rId40" Target="http://www.sciencedirect.com/science/article/pii/016864969500046D" TargetMode="External" /><Relationship Type="http://schemas.openxmlformats.org/officeDocument/2006/relationships/hyperlink" Id="rId45" Target="http://www.sciencedirect.com/science/article/pii/S0016706109000548" TargetMode="External" /><Relationship Type="http://schemas.openxmlformats.org/officeDocument/2006/relationships/hyperlink" Id="rId37" Target="http://www.sciencedirect.com/science/article/pii/S0038071709004209" TargetMode="External" /><Relationship Type="http://schemas.openxmlformats.org/officeDocument/2006/relationships/hyperlink" Id="rId42" Target="http://www.sciencedirect.com/science/article/pii/S003807179900210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://aem.asm.org/content/72/2/1346.full.pdf+html" TargetMode="External" /><Relationship Type="http://schemas.openxmlformats.org/officeDocument/2006/relationships/hyperlink" Id="rId44" Target="http://journals.plos.org/plosone/article?id=10.1371/journal.pone.0115775#s2" TargetMode="External" /><Relationship Type="http://schemas.openxmlformats.org/officeDocument/2006/relationships/hyperlink" Id="rId39" Target="http://link.springer.com/article/10.1007%2FBF00384433" TargetMode="External" /><Relationship Type="http://schemas.openxmlformats.org/officeDocument/2006/relationships/hyperlink" Id="rId32" Target="http://link.springer.com/article/10.1007%2Fs00248-013-0254-8" TargetMode="External" /><Relationship Type="http://schemas.openxmlformats.org/officeDocument/2006/relationships/hyperlink" Id="rId27" Target="http://nature.berkeley.edu/soilmicro/methods/BalserPLFA.pdf" TargetMode="External" /><Relationship Type="http://schemas.openxmlformats.org/officeDocument/2006/relationships/hyperlink" Id="rId35" Target="http://onlinelibrary.wiley.com/doi/10.1111/j.1462-2920.2007.01466.x/full" TargetMode="External" /><Relationship Type="http://schemas.openxmlformats.org/officeDocument/2006/relationships/hyperlink" Id="rId28" Target="http://vegetables.wsu.edu/scri/PLFA_protocolsOnly.pdf" TargetMode="External" /><Relationship Type="http://schemas.openxmlformats.org/officeDocument/2006/relationships/hyperlink" Id="rId30" Target="http://wardlab.com/FeeSchedule/WardLabs_FeeSchedule_Web.pdf#page=4" TargetMode="External" /><Relationship Type="http://schemas.openxmlformats.org/officeDocument/2006/relationships/hyperlink" Id="rId22" Target="http://www.midi-inc.com/pdf/Rapid_PLFA_Extraction.pdf" TargetMode="External" /><Relationship Type="http://schemas.openxmlformats.org/officeDocument/2006/relationships/hyperlink" Id="rId40" Target="http://www.sciencedirect.com/science/article/pii/016864969500046D" TargetMode="External" /><Relationship Type="http://schemas.openxmlformats.org/officeDocument/2006/relationships/hyperlink" Id="rId45" Target="http://www.sciencedirect.com/science/article/pii/S0016706109000548" TargetMode="External" /><Relationship Type="http://schemas.openxmlformats.org/officeDocument/2006/relationships/hyperlink" Id="rId37" Target="http://www.sciencedirect.com/science/article/pii/S0038071709004209" TargetMode="External" /><Relationship Type="http://schemas.openxmlformats.org/officeDocument/2006/relationships/hyperlink" Id="rId42" Target="http://www.sciencedirect.com/science/article/pii/S003807179900210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