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rotocols"/>
      <w:bookmarkEnd w:id="21"/>
      <w:r>
        <w:t xml:space="preserve">Buckley Lab SIP protocols</w:t>
      </w:r>
    </w:p>
    <w:p>
      <w:pPr>
        <w:pStyle w:val="Heading2"/>
      </w:pPr>
      <w:bookmarkStart w:id="22" w:name="updating-non-markdown-versions-of-protocol-files"/>
      <w:bookmarkEnd w:id="22"/>
      <w:r>
        <w:t xml:space="preserve">Updating non-markdown versions of protocol files</w:t>
      </w:r>
    </w:p>
    <w:p>
      <w:pPr>
        <w:pStyle w:val="Compact"/>
        <w:numPr>
          <w:numId w:val="1001"/>
          <w:ilvl w:val="0"/>
        </w:numPr>
      </w:pPr>
      <w:r>
        <w:t xml:space="preserve">Please don't edit the Word or html files directly!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(eg., html or docx).</w:t>
      </w:r>
    </w:p>
    <w:p>
      <w:pPr>
        <w:pStyle w:val="Compact"/>
        <w:numPr>
          <w:numId w:val="1001"/>
          <w:ilvl w:val="0"/>
        </w:numPr>
      </w:pPr>
      <w:r>
        <w:t xml:space="preserve">The bash scripts (eg., md2html.sh) will convert all files ending in '.md' to a specified format.</w:t>
      </w:r>
    </w:p>
    <w:p>
      <w:pPr>
        <w:pStyle w:val="Compact"/>
        <w:numPr>
          <w:numId w:val="1002"/>
          <w:ilvl w:val="1"/>
        </w:numPr>
      </w:pPr>
      <w:r>
        <w:t xml:space="preserve">Example usage:</w:t>
      </w:r>
      <w:r>
        <w:t xml:space="preserve"> </w:t>
      </w:r>
      <w:r>
        <w:rPr>
          <w:rStyle w:val="VerbatimChar"/>
        </w:rPr>
        <w:t xml:space="preserve">./md2html.sh</w:t>
      </w:r>
    </w:p>
    <w:p>
      <w:pPr>
        <w:pStyle w:val="Compact"/>
        <w:numPr>
          <w:numId w:val="1003"/>
          <w:ilvl w:val="2"/>
        </w:numPr>
      </w:pPr>
      <w:r>
        <w:t xml:space="preserve">This will creat a html file for each corresponding markdown file.</w:t>
      </w:r>
    </w:p>
    <w:p>
      <w:pPr>
        <w:pStyle w:val="Heading2"/>
      </w:pPr>
      <w:bookmarkStart w:id="23" w:name="working-in-the-lab"/>
      <w:bookmarkEnd w:id="23"/>
      <w:r>
        <w:t xml:space="preserve">Working in the lab</w:t>
      </w:r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Link"/>
          </w:rPr>
          <w:t xml:space="preserve">lab_etiquette</w:t>
        </w:r>
      </w:hyperlink>
    </w:p>
    <w:p>
      <w:pPr>
        <w:pStyle w:val="Compact"/>
        <w:numPr>
          <w:numId w:val="1004"/>
          <w:ilvl w:val="0"/>
        </w:numPr>
      </w:pPr>
      <w:hyperlink r:id="rId25">
        <w:r>
          <w:rPr>
            <w:rStyle w:val="Link"/>
          </w:rPr>
          <w:t xml:space="preserve">undergrad_expectations</w:t>
        </w:r>
      </w:hyperlink>
    </w:p>
    <w:p>
      <w:pPr>
        <w:pStyle w:val="Heading2"/>
      </w:pPr>
      <w:bookmarkStart w:id="26" w:name="pipeline-steps"/>
      <w:bookmarkEnd w:id="26"/>
      <w:r>
        <w:t xml:space="preserve">Pipeline steps</w:t>
      </w:r>
    </w:p>
    <w:p>
      <w:pPr>
        <w:pStyle w:val="Compact"/>
        <w:numPr>
          <w:numId w:val="1005"/>
          <w:ilvl w:val="0"/>
        </w:numPr>
      </w:pPr>
      <w:r>
        <w:t xml:space="preserve">Soil sampling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setup</w:t>
      </w:r>
    </w:p>
    <w:p>
      <w:pPr>
        <w:pStyle w:val="Compact"/>
        <w:numPr>
          <w:numId w:val="1007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8"/>
          <w:ilvl w:val="2"/>
        </w:numPr>
      </w:pPr>
      <w:hyperlink r:id="rId28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7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9"/>
          <w:ilvl w:val="2"/>
        </w:numPr>
      </w:pPr>
      <w:hyperlink r:id="rId29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5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extraction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13"/>
          <w:ilvl w:val="1"/>
        </w:numPr>
      </w:pPr>
      <w:hyperlink r:id="rId33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quantification:</w:t>
      </w:r>
    </w:p>
    <w:p>
      <w:pPr>
        <w:pStyle w:val="Compact"/>
        <w:numPr>
          <w:numId w:val="1014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5"/>
          <w:ilvl w:val="1"/>
        </w:numPr>
      </w:pPr>
      <w:hyperlink r:id="rId35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5"/>
          <w:ilvl w:val="0"/>
        </w:numPr>
      </w:pPr>
      <w:r>
        <w:t xml:space="preserve">Pippin Prep</w:t>
      </w:r>
    </w:p>
    <w:p>
      <w:pPr>
        <w:pStyle w:val="Compact"/>
        <w:numPr>
          <w:numId w:val="1016"/>
          <w:ilvl w:val="1"/>
        </w:numPr>
      </w:pPr>
      <w:hyperlink r:id="rId36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5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7"/>
          <w:ilvl w:val="1"/>
        </w:numPr>
      </w:pPr>
      <w:hyperlink r:id="rId34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5"/>
          <w:ilvl w:val="0"/>
        </w:numPr>
      </w:pPr>
      <w:r>
        <w:t xml:space="preserve">MiSeq library prep:</w:t>
      </w:r>
    </w:p>
    <w:p>
      <w:pPr>
        <w:pStyle w:val="Compact"/>
        <w:numPr>
          <w:numId w:val="1018"/>
          <w:ilvl w:val="1"/>
        </w:numPr>
      </w:pPr>
      <w:hyperlink r:id="rId37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8" w:name="others"/>
      <w:bookmarkEnd w:id="38"/>
      <w:r>
        <w:t xml:space="preserve">Others</w:t>
      </w:r>
    </w:p>
    <w:p>
      <w:pPr>
        <w:pStyle w:val="Compact"/>
        <w:numPr>
          <w:numId w:val="1019"/>
          <w:ilvl w:val="0"/>
        </w:numPr>
      </w:pPr>
      <w:r>
        <w:t xml:space="preserve">Cellulose farming</w:t>
      </w:r>
    </w:p>
    <w:p>
      <w:pPr>
        <w:pStyle w:val="Compact"/>
        <w:numPr>
          <w:numId w:val="1020"/>
          <w:ilvl w:val="1"/>
        </w:numPr>
      </w:pPr>
      <w:r>
        <w:t xml:space="preserve">Cellulose production</w:t>
      </w:r>
    </w:p>
    <w:p>
      <w:pPr>
        <w:pStyle w:val="Compact"/>
        <w:numPr>
          <w:numId w:val="1021"/>
          <w:ilvl w:val="2"/>
        </w:numPr>
      </w:pPr>
      <w:hyperlink r:id="rId39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20"/>
          <w:ilvl w:val="1"/>
        </w:numPr>
      </w:pPr>
      <w:r>
        <w:t xml:space="preserve">Cellulose grinding:</w:t>
      </w:r>
    </w:p>
    <w:p>
      <w:pPr>
        <w:pStyle w:val="Compact"/>
        <w:numPr>
          <w:numId w:val="1022"/>
          <w:ilvl w:val="2"/>
        </w:numPr>
      </w:pPr>
      <w:hyperlink r:id="rId40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9"/>
          <w:ilvl w:val="0"/>
        </w:numPr>
      </w:pPr>
      <w:r>
        <w:t xml:space="preserve">Plant stimulant</w:t>
      </w:r>
    </w:p>
    <w:p>
      <w:pPr>
        <w:pStyle w:val="Compact"/>
        <w:numPr>
          <w:numId w:val="1023"/>
          <w:ilvl w:val="1"/>
        </w:numPr>
      </w:pPr>
      <w:hyperlink r:id="rId41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9"/>
          <w:ilvl w:val="0"/>
        </w:numPr>
      </w:pPr>
      <w:r>
        <w:t xml:space="preserve">Soil geochemistry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pH</w:t>
        </w:r>
      </w:hyperlink>
    </w:p>
    <w:p>
      <w:pPr>
        <w:pStyle w:val="Compact"/>
        <w:numPr>
          <w:numId w:val="1024"/>
          <w:ilvl w:val="1"/>
        </w:numPr>
      </w:pPr>
      <w:hyperlink r:id="rId43">
        <w:r>
          <w:rPr>
            <w:rStyle w:val="Link"/>
          </w:rPr>
          <w:t xml:space="preserve">organic_content</w:t>
        </w:r>
      </w:hyperlink>
    </w:p>
    <w:p>
      <w:pPr>
        <w:pStyle w:val="Compact"/>
        <w:numPr>
          <w:numId w:val="1024"/>
          <w:ilvl w:val="1"/>
        </w:numPr>
      </w:pPr>
      <w:hyperlink r:id="rId44">
        <w:r>
          <w:rPr>
            <w:rStyle w:val="Link"/>
          </w:rPr>
          <w:t xml:space="preserve">water_holding_capacity</w:t>
        </w:r>
      </w:hyperlink>
    </w:p>
    <w:p>
      <w:pPr>
        <w:pStyle w:val="Heading2"/>
      </w:pPr>
      <w:bookmarkStart w:id="45" w:name="workflows"/>
      <w:bookmarkEnd w:id="45"/>
      <w:r>
        <w:t xml:space="preserve">Workflows</w:t>
      </w:r>
    </w:p>
    <w:p>
      <w:pPr>
        <w:pStyle w:val="Heading3"/>
      </w:pPr>
      <w:bookmarkStart w:id="46" w:name="bulk-dna-sequencing-of-the-16s-rrna-gene"/>
      <w:bookmarkEnd w:id="46"/>
      <w:r>
        <w:t xml:space="preserve">Bulk DNA sequencing of the 16S rRNA gene</w:t>
      </w:r>
    </w:p>
    <w:p>
      <w:pPr>
        <w:numPr>
          <w:numId w:val="1025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5"/>
          <w:ilvl w:val="0"/>
        </w:numPr>
      </w:pPr>
      <w:hyperlink r:id="rId47">
        <w:r>
          <w:rPr>
            <w:rStyle w:val="Link"/>
          </w:rPr>
          <w:t xml:space="preserve">Sephadex column clean-up</w:t>
        </w:r>
      </w:hyperlink>
    </w:p>
    <w:p>
      <w:pPr>
        <w:numPr>
          <w:numId w:val="1025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5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8" w:name="microcosm---gradient-fractionation---16s-rrna-gene-sequencing"/>
      <w:bookmarkEnd w:id="48"/>
      <w:r>
        <w:t xml:space="preserve">Microcosm -&gt; gradient fractionation -&gt; 16S rRNA gene sequencing</w:t>
      </w:r>
    </w:p>
    <w:p>
      <w:pPr>
        <w:numPr>
          <w:numId w:val="1026"/>
          <w:ilvl w:val="0"/>
        </w:numPr>
      </w:pPr>
      <w:hyperlink r:id="rId31">
        <w:r>
          <w:rPr>
            <w:rStyle w:val="Link"/>
          </w:rPr>
          <w:t xml:space="preserve">Nucleotide extraction</w:t>
        </w:r>
      </w:hyperlink>
    </w:p>
    <w:p>
      <w:pPr>
        <w:numPr>
          <w:numId w:val="1026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5">
        <w:r>
          <w:rPr>
            <w:rStyle w:val="Link"/>
          </w:rPr>
          <w:t xml:space="preserve">speed-vac</w:t>
        </w:r>
      </w:hyperlink>
    </w:p>
    <w:p>
      <w:pPr>
        <w:numPr>
          <w:numId w:val="1026"/>
          <w:ilvl w:val="0"/>
        </w:numPr>
      </w:pPr>
      <w:hyperlink r:id="rId36">
        <w:r>
          <w:rPr>
            <w:rStyle w:val="Link"/>
          </w:rPr>
          <w:t xml:space="preserve">PippinPrep</w:t>
        </w:r>
      </w:hyperlink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6"/>
          <w:ilvl w:val="0"/>
        </w:numPr>
      </w:pPr>
      <w:hyperlink r:id="rId32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7"/>
          <w:ilvl w:val="1"/>
        </w:numPr>
      </w:pPr>
      <w:r>
        <w:t xml:space="preserve">Including desalting</w:t>
      </w:r>
    </w:p>
    <w:p>
      <w:pPr>
        <w:numPr>
          <w:numId w:val="1026"/>
          <w:ilvl w:val="0"/>
        </w:numPr>
      </w:pPr>
      <w:hyperlink r:id="rId34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6"/>
          <w:ilvl w:val="0"/>
        </w:numPr>
      </w:pPr>
      <w:hyperlink r:id="rId37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8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7b0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df60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CsCl_fractionation/CsCl_fractionation.md" TargetMode="External" /><Relationship Type="http://schemas.openxmlformats.org/officeDocument/2006/relationships/hyperlink" Id="rId30" Target="./GCMS_operation/CO2_batch_run.md" TargetMode="External" /><Relationship Type="http://schemas.openxmlformats.org/officeDocument/2006/relationships/hyperlink" Id="rId36" Target="./Pippin_prep/Pippin_prep.md" TargetMode="External" /><Relationship Type="http://schemas.openxmlformats.org/officeDocument/2006/relationships/hyperlink" Id="rId33" Target="./RNA_SIP/RNA_SIP.md" TargetMode="External" /><Relationship Type="http://schemas.openxmlformats.org/officeDocument/2006/relationships/hyperlink" Id="rId40" Target="./cellulose_farming/CelluloseGrindingProtocol.md" TargetMode="External" /><Relationship Type="http://schemas.openxmlformats.org/officeDocument/2006/relationships/hyperlink" Id="rId39" Target="./cellulose_farming/CelluloseProductionProtocol.md" TargetMode="External" /><Relationship Type="http://schemas.openxmlformats.org/officeDocument/2006/relationships/hyperlink" Id="rId37" Target="./library_prep/Illumina_barcoding_protocol.md" TargetMode="External" /><Relationship Type="http://schemas.openxmlformats.org/officeDocument/2006/relationships/hyperlink" Id="rId29" Target="./microcosm/SIP_fullCyc_pilot_microcosm.md" TargetMode="External" /><Relationship Type="http://schemas.openxmlformats.org/officeDocument/2006/relationships/hyperlink" Id="rId28" Target="./microcosm/SIP_microcosm.md" TargetMode="External" /><Relationship Type="http://schemas.openxmlformats.org/officeDocument/2006/relationships/hyperlink" Id="rId34" Target="./nucleotide_conc/picogreen.md" TargetMode="External" /><Relationship Type="http://schemas.openxmlformats.org/officeDocument/2006/relationships/hyperlink" Id="rId31" Target="./nucleotide_extraction/DNA_RNA_extraction_Protocol.md" TargetMode="External" /><Relationship Type="http://schemas.openxmlformats.org/officeDocument/2006/relationships/hyperlink" Id="rId41" Target="./plant_stimulant/Substrate_Additions_MicrobSuccession.md" TargetMode="External" /><Relationship Type="http://schemas.openxmlformats.org/officeDocument/2006/relationships/hyperlink" Id="rId27" Target="./sampling/soil_sampling_protocol.md" TargetMode="External" /><Relationship Type="http://schemas.openxmlformats.org/officeDocument/2006/relationships/hyperlink" Id="rId43" Target="./soil_geochemistry/soil_organic_content.md" TargetMode="External" /><Relationship Type="http://schemas.openxmlformats.org/officeDocument/2006/relationships/hyperlink" Id="rId42" Target="./soil_geochemistry/soil_pH.md" TargetMode="External" /><Relationship Type="http://schemas.openxmlformats.org/officeDocument/2006/relationships/hyperlink" Id="rId44" Target="./soil_geochemistry/water_holding_capacity.md" TargetMode="External" /><Relationship Type="http://schemas.openxmlformats.org/officeDocument/2006/relationships/hyperlink" Id="rId35" Target="./speed-vac/speed-vac.md" TargetMode="External" /><Relationship Type="http://schemas.openxmlformats.org/officeDocument/2006/relationships/hyperlink" Id="rId24" Target="./working_in_the_lab/lab_etiquette.md" TargetMode="External" /><Relationship Type="http://schemas.openxmlformats.org/officeDocument/2006/relationships/hyperlink" Id="rId25" Target="./working_in_the_lab/undergrad_expectations.md" TargetMode="External" /><Relationship Type="http://schemas.openxmlformats.org/officeDocument/2006/relationships/hyperlink" Id="rId47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