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*.docx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convert all markdown files to html.</w:t>
      </w:r>
    </w:p>
    <w:p>
      <w:pPr>
        <w:pStyle w:val="Compact"/>
        <w:numPr>
          <w:numId w:val="1002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pPr>
        <w:pStyle w:val="Heading2"/>
      </w:pPr>
      <w:bookmarkStart w:id="23" w:name="pipeline-steps"/>
      <w:bookmarkEnd w:id="23"/>
      <w:r>
        <w:t xml:space="preserve">Pipeline steps</w:t>
      </w:r>
    </w:p>
    <w:p>
      <w:pPr>
        <w:pStyle w:val="Compact"/>
        <w:numPr>
          <w:numId w:val="1005"/>
          <w:ilvl w:val="0"/>
        </w:numPr>
      </w:pPr>
      <w:r>
        <w:t xml:space="preserve">Soil sampling</w:t>
      </w:r>
    </w:p>
    <w:p>
      <w:pPr>
        <w:pStyle w:val="Compact"/>
        <w:numPr>
          <w:numId w:val="1006"/>
          <w:ilvl w:val="1"/>
        </w:numPr>
      </w:pPr>
      <w:hyperlink r:id="rId24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setup</w:t>
      </w:r>
    </w:p>
    <w:p>
      <w:pPr>
        <w:pStyle w:val="Compact"/>
        <w:numPr>
          <w:numId w:val="1007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8"/>
          <w:ilvl w:val="2"/>
        </w:numPr>
      </w:pPr>
      <w:hyperlink r:id="rId25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7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9"/>
          <w:ilvl w:val="2"/>
        </w:numPr>
      </w:pPr>
      <w:hyperlink r:id="rId26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10"/>
          <w:ilvl w:val="1"/>
        </w:numPr>
      </w:pPr>
      <w:hyperlink r:id="rId27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extraction</w:t>
      </w:r>
    </w:p>
    <w:p>
      <w:pPr>
        <w:pStyle w:val="Compact"/>
        <w:numPr>
          <w:numId w:val="1011"/>
          <w:ilvl w:val="1"/>
        </w:numPr>
      </w:pPr>
      <w:hyperlink r:id="rId28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2"/>
          <w:ilvl w:val="1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quantification:</w:t>
      </w:r>
    </w:p>
    <w:p>
      <w:pPr>
        <w:pStyle w:val="Compact"/>
        <w:numPr>
          <w:numId w:val="1014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5"/>
          <w:ilvl w:val="1"/>
        </w:numPr>
      </w:pPr>
      <w:hyperlink r:id="rId32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5"/>
          <w:ilvl w:val="0"/>
        </w:numPr>
      </w:pPr>
      <w:r>
        <w:t xml:space="preserve">Pippin Prep</w:t>
      </w:r>
    </w:p>
    <w:p>
      <w:pPr>
        <w:pStyle w:val="Compact"/>
        <w:numPr>
          <w:numId w:val="1016"/>
          <w:ilvl w:val="1"/>
        </w:numPr>
      </w:pPr>
      <w:hyperlink r:id="rId33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5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7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MiSeq library prep:</w:t>
      </w:r>
    </w:p>
    <w:p>
      <w:pPr>
        <w:pStyle w:val="Compact"/>
        <w:numPr>
          <w:numId w:val="1018"/>
          <w:ilvl w:val="1"/>
        </w:numPr>
      </w:pPr>
      <w:hyperlink r:id="rId34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5" w:name="others"/>
      <w:bookmarkEnd w:id="35"/>
      <w:r>
        <w:t xml:space="preserve">Others</w:t>
      </w:r>
    </w:p>
    <w:p>
      <w:pPr>
        <w:pStyle w:val="Compact"/>
        <w:numPr>
          <w:numId w:val="1019"/>
          <w:ilvl w:val="0"/>
        </w:numPr>
      </w:pPr>
      <w:r>
        <w:t xml:space="preserve">Cellulose farming</w:t>
      </w:r>
    </w:p>
    <w:p>
      <w:pPr>
        <w:pStyle w:val="Compact"/>
        <w:numPr>
          <w:numId w:val="1020"/>
          <w:ilvl w:val="1"/>
        </w:numPr>
      </w:pPr>
      <w:r>
        <w:t xml:space="preserve">Cellulose production</w:t>
      </w:r>
    </w:p>
    <w:p>
      <w:pPr>
        <w:pStyle w:val="Compact"/>
        <w:numPr>
          <w:numId w:val="1021"/>
          <w:ilvl w:val="2"/>
        </w:numPr>
      </w:pPr>
      <w:hyperlink r:id="rId36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20"/>
          <w:ilvl w:val="1"/>
        </w:numPr>
      </w:pPr>
      <w:r>
        <w:t xml:space="preserve">Cellulose grinding:</w:t>
      </w:r>
    </w:p>
    <w:p>
      <w:pPr>
        <w:pStyle w:val="Compact"/>
        <w:numPr>
          <w:numId w:val="1022"/>
          <w:ilvl w:val="2"/>
        </w:numPr>
      </w:pPr>
      <w:hyperlink r:id="rId37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9"/>
          <w:ilvl w:val="0"/>
        </w:numPr>
      </w:pPr>
      <w:r>
        <w:t xml:space="preserve">Plant stimulant</w:t>
      </w:r>
    </w:p>
    <w:p>
      <w:pPr>
        <w:pStyle w:val="Compact"/>
        <w:numPr>
          <w:numId w:val="1023"/>
          <w:ilvl w:val="1"/>
        </w:numPr>
      </w:pPr>
      <w:hyperlink r:id="rId38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9"/>
          <w:ilvl w:val="0"/>
        </w:numPr>
      </w:pPr>
      <w:r>
        <w:t xml:space="preserve">Soil geochemistry</w:t>
      </w:r>
    </w:p>
    <w:p>
      <w:pPr>
        <w:pStyle w:val="Compact"/>
        <w:numPr>
          <w:numId w:val="1024"/>
          <w:ilvl w:val="1"/>
        </w:numPr>
      </w:pPr>
      <w:hyperlink r:id="rId39">
        <w:r>
          <w:rPr>
            <w:rStyle w:val="Link"/>
          </w:rPr>
          <w:t xml:space="preserve">soil_pH</w:t>
        </w:r>
      </w:hyperlink>
    </w:p>
    <w:p>
      <w:pPr>
        <w:pStyle w:val="Compact"/>
        <w:numPr>
          <w:numId w:val="1024"/>
          <w:ilvl w:val="1"/>
        </w:numPr>
      </w:pPr>
      <w:hyperlink r:id="rId40">
        <w:r>
          <w:rPr>
            <w:rStyle w:val="Link"/>
          </w:rPr>
          <w:t xml:space="preserve">soil_organic_content</w:t>
        </w:r>
      </w:hyperlink>
    </w:p>
    <w:p>
      <w:pPr>
        <w:pStyle w:val="Heading2"/>
      </w:pPr>
      <w:bookmarkStart w:id="41" w:name="workflows"/>
      <w:bookmarkEnd w:id="41"/>
      <w:r>
        <w:t xml:space="preserve">Workflows</w:t>
      </w:r>
    </w:p>
    <w:p>
      <w:pPr>
        <w:pStyle w:val="Heading3"/>
      </w:pPr>
      <w:bookmarkStart w:id="42" w:name="bulk-dna-sequencing-of-the-16s-rrna-gene"/>
      <w:bookmarkEnd w:id="42"/>
      <w:r>
        <w:t xml:space="preserve">Bulk DNA sequencing of the 16S rRNA gene</w:t>
      </w:r>
    </w:p>
    <w:p>
      <w:pPr>
        <w:numPr>
          <w:numId w:val="1025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hyperlink r:id="rId43">
        <w:r>
          <w:rPr>
            <w:rStyle w:val="Link"/>
          </w:rPr>
          <w:t xml:space="preserve">Sephadex column clean-up</w:t>
        </w:r>
      </w:hyperlink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5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4" w:name="microcosm---gradient-fractionation---16s-rrna-gene-sequencing"/>
      <w:bookmarkEnd w:id="44"/>
      <w:r>
        <w:t xml:space="preserve">Microcosm -&gt; gradient fractionation -&gt; 16S rRNA gene sequencing</w:t>
      </w:r>
    </w:p>
    <w:p>
      <w:pPr>
        <w:numPr>
          <w:numId w:val="1026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6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2">
        <w:r>
          <w:rPr>
            <w:rStyle w:val="Link"/>
          </w:rPr>
          <w:t xml:space="preserve">speed-vac</w:t>
        </w:r>
      </w:hyperlink>
    </w:p>
    <w:p>
      <w:pPr>
        <w:numPr>
          <w:numId w:val="1026"/>
          <w:ilvl w:val="0"/>
        </w:numPr>
      </w:pPr>
      <w:hyperlink r:id="rId33">
        <w:r>
          <w:rPr>
            <w:rStyle w:val="Link"/>
          </w:rPr>
          <w:t xml:space="preserve">PippinPrep</w:t>
        </w:r>
      </w:hyperlink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6"/>
          <w:ilvl w:val="0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7"/>
          <w:ilvl w:val="1"/>
        </w:numPr>
      </w:pPr>
      <w:r>
        <w:t xml:space="preserve">Including desalting</w:t>
      </w:r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6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8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7411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e591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3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3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