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authorship"/>
      <w:bookmarkEnd w:id="22"/>
      <w:r>
        <w:t xml:space="preserve">Authorship</w:t>
      </w:r>
    </w:p>
    <w:p>
      <w:r>
        <w:t xml:space="preserve">Chantal Koechli (2012)</w:t>
      </w:r>
    </w:p>
    <w:p>
      <w:pPr>
        <w:pStyle w:val="Heading2"/>
      </w:pPr>
      <w:bookmarkStart w:id="23" w:name="extract-nucleic-acids"/>
      <w:bookmarkEnd w:id="23"/>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4" w:name="gel-electrophoresis-to-check-that-rna-is-present"/>
      <w:bookmarkEnd w:id="24"/>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5" w:name="gradient-centrifugation"/>
      <w:bookmarkEnd w:id="25"/>
      <w:r>
        <w:t xml:space="preserve">Gradient centrifugation:</w:t>
      </w:r>
    </w:p>
    <w:p>
      <w:pPr>
        <w:pStyle w:val="Heading3"/>
      </w:pPr>
      <w:bookmarkStart w:id="26" w:name="setting-up-a-cstfa-gradient-for-stable-isotope-probing"/>
      <w:bookmarkEnd w:id="26"/>
      <w:r>
        <w:t xml:space="preserve">Setting up a CsTFA gradient for Stable Isotope Probing</w:t>
      </w:r>
    </w:p>
    <w:p>
      <w:pPr>
        <w:pStyle w:val="Heading4"/>
      </w:pPr>
      <w:bookmarkStart w:id="27" w:name="gradient-media"/>
      <w:bookmarkEnd w:id="27"/>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8" w:name="setting-up-the-gradients"/>
      <w:bookmarkEnd w:id="28"/>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9" w:name="cscl-gradient-fractioning-52012"/>
      <w:bookmarkEnd w:id="29"/>
      <w:r>
        <w:t xml:space="preserve">CsCl gradient fractioning (5/2012)</w:t>
      </w:r>
    </w:p>
    <w:p>
      <w:pPr>
        <w:pStyle w:val="Heading3"/>
      </w:pPr>
      <w:bookmarkStart w:id="30" w:name="setting-up"/>
      <w:bookmarkEnd w:id="30"/>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1" w:name="fractionation"/>
      <w:bookmarkEnd w:id="31"/>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ce8a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31d5c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e546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12c48e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