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8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1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8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2"/>
          <w:ilvl w:val="0"/>
        </w:numPr>
      </w:pPr>
      <w:r>
        <w:t xml:space="preserve">2% glucose</w:t>
      </w:r>
    </w:p>
    <w:p>
      <w:pPr>
        <w:pStyle w:val="Compact"/>
        <w:numPr>
          <w:numId w:val="1012"/>
          <w:ilvl w:val="0"/>
        </w:numPr>
      </w:pPr>
      <w:r>
        <w:t xml:space="preserve">0.5% peptone</w:t>
      </w:r>
    </w:p>
    <w:p>
      <w:pPr>
        <w:pStyle w:val="Compact"/>
        <w:numPr>
          <w:numId w:val="1012"/>
          <w:ilvl w:val="0"/>
        </w:numPr>
      </w:pPr>
      <w:r>
        <w:t xml:space="preserve">0.5% yeast extract</w:t>
      </w:r>
    </w:p>
    <w:p>
      <w:pPr>
        <w:pStyle w:val="Compact"/>
        <w:numPr>
          <w:numId w:val="1012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2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2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2"/>
          <w:ilvl w:val="0"/>
        </w:numPr>
      </w:pPr>
      <w:r>
        <w:t xml:space="preserve">2% agar</w:t>
      </w:r>
    </w:p>
    <w:p>
      <w:pPr>
        <w:pStyle w:val="Compact"/>
        <w:numPr>
          <w:numId w:val="1012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3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4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5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16"/>
          <w:ilvl w:val="0"/>
        </w:numPr>
      </w:pPr>
      <w:hyperlink r:id="rId28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3be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a084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ecb3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