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farming"/>
      <w:bookmarkEnd w:id="21"/>
      <w:r>
        <w:t xml:space="preserve">Cellulose farming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Mallory Choudoir (2011)</w:t>
      </w:r>
    </w:p>
    <w:p>
      <w:pPr>
        <w:pStyle w:val="Heading1"/>
      </w:pPr>
      <w:bookmarkStart w:id="23" w:name="cellulose-production"/>
      <w:bookmarkEnd w:id="23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4" w:name="cellulose-harvest"/>
      <w:bookmarkEnd w:id="24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5" w:name="media"/>
      <w:bookmarkEnd w:id="25"/>
      <w:r>
        <w:t xml:space="preserve">Media</w:t>
      </w:r>
    </w:p>
    <w:p>
      <w:pPr>
        <w:pStyle w:val="Heading2"/>
      </w:pPr>
      <w:bookmarkStart w:id="26" w:name="hestrin-and-schram"/>
      <w:bookmarkEnd w:id="26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7" w:name="heo-and-son"/>
      <w:bookmarkEnd w:id="27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8" w:name="notes"/>
      <w:bookmarkEnd w:id="28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205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4ac0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4987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