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pStyle w:val="Compact"/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pStyle w:val="Compact"/>
        <w:numPr>
          <w:numId w:val="1003"/>
          <w:ilvl w:val="2"/>
        </w:numPr>
      </w:pPr>
      <w:r>
        <w:t xml:space="preserve">50% of total volume</w:t>
      </w:r>
    </w:p>
    <w:p>
      <w:pPr>
        <w:pStyle w:val="Compact"/>
        <w:numPr>
          <w:numId w:val="1002"/>
          <w:ilvl w:val="1"/>
        </w:numPr>
      </w:pPr>
      <w:r>
        <w:t xml:space="preserve">2.5 uL combined forward and reverse barcoded primers (10 uM)</w:t>
      </w:r>
    </w:p>
    <w:p>
      <w:pPr>
        <w:pStyle w:val="Compact"/>
        <w:numPr>
          <w:numId w:val="1004"/>
          <w:ilvl w:val="2"/>
        </w:numPr>
      </w:pPr>
      <w:r>
        <w:t xml:space="preserve">10% of total volume</w:t>
      </w:r>
      <w:r>
        <w:br w:type="textWrapping"/>
      </w:r>
    </w:p>
    <w:p>
      <w:pPr>
        <w:pStyle w:val="Compact"/>
        <w:numPr>
          <w:numId w:val="1004"/>
          <w:ilvl w:val="2"/>
        </w:numPr>
      </w:pPr>
      <w:r>
        <w:t xml:space="preserve">Primer plates can be created with the robot method: "make_primer_plate"</w:t>
      </w:r>
    </w:p>
    <w:p>
      <w:pPr>
        <w:pStyle w:val="Compact"/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5"/>
          <w:ilvl w:val="2"/>
        </w:numPr>
      </w:pPr>
      <w:r>
        <w:t xml:space="preserve">5% of total volume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6"/>
          <w:ilvl w:val="2"/>
        </w:numPr>
      </w:pPr>
      <w:r>
        <w:t xml:space="preserve">2% of total volume</w:t>
      </w:r>
    </w:p>
    <w:p>
      <w:pPr>
        <w:pStyle w:val="Compact"/>
        <w:numPr>
          <w:numId w:val="1006"/>
          <w:ilvl w:val="2"/>
        </w:numPr>
      </w:pPr>
      <w:r>
        <w:t xml:space="preserve">4x concentration, dilute the 200x stock that comes in the Picogreen kit with 1X TE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If adding pico &amp; BSA to master mix prior to aliquoting master mix:</w:t>
      </w:r>
    </w:p>
    <w:p>
      <w:pPr>
        <w:pStyle w:val="Compact"/>
        <w:numPr>
          <w:numId w:val="1008"/>
          <w:ilvl w:val="1"/>
        </w:numPr>
      </w:pPr>
      <w:r>
        <w:t xml:space="preserve">total_volume = master_mix + BSA + pico</w:t>
      </w:r>
    </w:p>
    <w:p>
      <w:pPr>
        <w:pStyle w:val="Compact"/>
        <w:numPr>
          <w:numId w:val="1008"/>
          <w:ilvl w:val="1"/>
        </w:numPr>
      </w:pPr>
      <w:r>
        <w:t xml:space="preserve">volume_master_mix = total_volume * 0.870</w:t>
      </w:r>
    </w:p>
    <w:p>
      <w:pPr>
        <w:pStyle w:val="Compact"/>
        <w:numPr>
          <w:numId w:val="1008"/>
          <w:ilvl w:val="1"/>
        </w:numPr>
      </w:pPr>
      <w:r>
        <w:t xml:space="preserve">volume_BSA = total_volume * 0.087</w:t>
      </w:r>
    </w:p>
    <w:p>
      <w:pPr>
        <w:pStyle w:val="Compact"/>
        <w:numPr>
          <w:numId w:val="1008"/>
          <w:ilvl w:val="1"/>
        </w:numPr>
      </w:pPr>
      <w:r>
        <w:t xml:space="preserve">volume_pico = total_volume * 0.043</w:t>
      </w:r>
    </w:p>
    <w:p>
      <w:pPr>
        <w:numPr>
          <w:numId w:val="1009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9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10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0"/>
          <w:ilvl w:val="1"/>
        </w:numPr>
      </w:pPr>
      <w:r>
        <w:t xml:space="preserve">30 cycles of:</w:t>
      </w:r>
    </w:p>
    <w:p>
      <w:pPr>
        <w:pStyle w:val="Compact"/>
        <w:numPr>
          <w:numId w:val="1011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11"/>
          <w:ilvl w:val="2"/>
        </w:numPr>
      </w:pPr>
      <w:r>
        <w:t xml:space="preserve">50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1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10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10"/>
          <w:ilvl w:val="1"/>
        </w:numPr>
      </w:pPr>
      <w:r>
        <w:t xml:space="preserve">Hold at 4</w:t>
      </w:r>
      <w:r>
        <w:t xml:space="preserve">o</w:t>
      </w:r>
      <w:r>
        <w:t xml:space="preserve">C</w:t>
      </w:r>
    </w:p>
    <w:p>
      <w:pPr>
        <w:pStyle w:val="Compact"/>
        <w:numPr>
          <w:numId w:val="1009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12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13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13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sample.</w:t>
      </w:r>
    </w:p>
    <w:p>
      <w:pPr>
        <w:pStyle w:val="Compact"/>
        <w:numPr>
          <w:numId w:val="1013"/>
          <w:ilvl w:val="1"/>
        </w:numPr>
      </w:pPr>
      <w:r>
        <w:t xml:space="preserve">This can be done with the robot method: "SequalPrep_Assay"</w:t>
      </w:r>
    </w:p>
    <w:p>
      <w:pPr>
        <w:pStyle w:val="Compact"/>
        <w:numPr>
          <w:numId w:val="1009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14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14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15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15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9"/>
          <w:ilvl w:val="0"/>
        </w:numPr>
      </w:pPr>
      <w:r>
        <w:t xml:space="preserve">Quantify concentrated collection of samples using PicoGreen.</w:t>
      </w:r>
    </w:p>
    <w:p>
      <w:pPr>
        <w:pStyle w:val="Compact"/>
        <w:numPr>
          <w:numId w:val="1016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9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7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18"/>
          <w:ilvl w:val="2"/>
        </w:numPr>
      </w:pPr>
      <w:r>
        <w:t xml:space="preserve">This may result in higher sequence quality.</w:t>
      </w:r>
    </w:p>
    <w:p>
      <w:pPr>
        <w:pStyle w:val="Compact"/>
        <w:numPr>
          <w:numId w:val="1009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9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9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20"/>
          <w:ilvl w:val="2"/>
        </w:numPr>
      </w:pPr>
      <w:r>
        <w:t xml:space="preserve">forward sequencing primer</w:t>
      </w:r>
    </w:p>
    <w:p>
      <w:pPr>
        <w:pStyle w:val="Compact"/>
        <w:numPr>
          <w:numId w:val="1020"/>
          <w:ilvl w:val="2"/>
        </w:numPr>
      </w:pPr>
      <w:r>
        <w:t xml:space="preserve">reverse sequencing primer</w:t>
      </w:r>
    </w:p>
    <w:p>
      <w:pPr>
        <w:pStyle w:val="Compact"/>
        <w:numPr>
          <w:numId w:val="1020"/>
          <w:ilvl w:val="2"/>
        </w:numPr>
      </w:pPr>
      <w:r>
        <w:t xml:space="preserve">reverse index read primer</w:t>
      </w:r>
    </w:p>
    <w:p>
      <w:pPr>
        <w:pStyle w:val="Heading2"/>
      </w:pPr>
      <w:bookmarkStart w:id="25" w:name="usual-comments-provided-with-the-sequencing-order"/>
      <w:bookmarkEnd w:id="25"/>
      <w:r>
        <w:t xml:space="preserve">Usual comments provided with the sequencing order:</w:t>
      </w:r>
    </w:p>
    <w:p>
      <w:pPr>
        <w:pStyle w:val="Heading3"/>
      </w:pPr>
      <w:bookmarkStart w:id="26" w:name="comments-for-515f-806r-primers"/>
      <w:bookmarkEnd w:id="26"/>
      <w:r>
        <w:t xml:space="preserve">Comments for 515f-806r primers</w:t>
      </w:r>
    </w:p>
    <w:p>
      <w:r>
        <w:t xml:space="preserve">We have generated our dual-indexed custom barcoded library as described in Kozich et al., (2013). Along with the submitted library, we have provided 10 ul of 100 uM custom sequencing primers: Primer 1, Index Primer, Primer 2. We request the following MiSeq run specifications: a</w:t>
      </w:r>
      <w:r>
        <w:t xml:space="preserve"> </w:t>
      </w:r>
      <w:r>
        <w:rPr>
          <w:b/>
        </w:rPr>
        <w:t xml:space="preserve">cluster density of 650-750k/mm^2</w:t>
      </w:r>
      <w:r>
        <w:t xml:space="preserve"> </w:t>
      </w:r>
      <w:r>
        <w:t xml:space="preserve">(under-shooting the cluster density is better than over-shooting), a</w:t>
      </w:r>
      <w:r>
        <w:t xml:space="preserve"> </w:t>
      </w:r>
      <w:r>
        <w:rPr>
          <w:b/>
        </w:rPr>
        <w:t xml:space="preserve">PhiX spike-in of 5%</w:t>
      </w:r>
      <w:r>
        <w:t xml:space="preserve">. These MiSeq run specifications are described in Kozich et al., (2013); see 'Run Monitoring' in the Supplemental Materials. Please let us know if you have any questions about the primers or requested run parameters. Thank you! [Citation: Kozich JJ, Westcott SL, Baxter NT, Highlander SK, Schloss PD. (2013). Development of a Dual-Index Sequencing Strategy and Curation Pipeline for Analyzing Amplicon Sequence Data on the MiSeq Illumina Sequencing Platform. Appl Environ Microbiol 79:5112-5120.]</w:t>
      </w:r>
    </w:p>
    <w:p>
      <w:pPr>
        <w:pStyle w:val="Heading3"/>
      </w:pPr>
      <w:bookmarkStart w:id="27" w:name="comments-for-515f-927r-primers"/>
      <w:bookmarkEnd w:id="27"/>
      <w:r>
        <w:t xml:space="preserve">Comments for 515f-927r primers</w:t>
      </w:r>
    </w:p>
    <w:p>
      <w:pPr>
        <w:pStyle w:val="BlockQuote"/>
      </w:pPr>
      <w:r>
        <w:t xml:space="preserve">We would like to run the 2x300 paired end read platform. Our submitted sample is a pooled set of already barcoded samples. We have supplied custom primers (labeled Primer 1, Index Primer 1, and Primer 2) for the sequencing as well, as follows: Primer 1: combined pad, linker, and gene-specific primer sequence at the 5' end of the region (pad+linker+515F primer) that will produce a long sequence read from the 5' end of the sequence. (Read 1) Index Primer 1: reverse complement of the pad, linker, and gene-specific primer from the 3'end (pad+linker+927R) that will provide an index read of the 3' end of the sequence. (Read 2) Primer 2: Combined pad linker, and gene-specific primer sequence at the 3' end of the region (pad+linker+927R primer) that will produce the second sequence read (300 nt) from the 3' end of the sequence (Read 4). The primers are described in more detail in [Kozich JJ, Westcott SL, Baxter NT, Highlander SK, Schloss PD. (2013). Development of a Dual-Index Sequencing Strategy and Curation Pipeline for Analyzing Amplicon Sequence Data on the MiSeq Illumina Sequencing Platform. Appl Environ Microbiol 79:5112-5120]. 10ul of 100uM primer has been supplied. Please let us know if you have any questions about the primers.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ebb4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385e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28aa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