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llumina-miseq-barcoding-protocol"/>
      <w:bookmarkEnd w:id="21"/>
      <w:r>
        <w:t xml:space="preserve">Illumina Miseq Barcoding Protocol</w:t>
      </w:r>
    </w:p>
    <w:p>
      <w:pPr>
        <w:numPr>
          <w:numId w:val="1001"/>
          <w:ilvl w:val="0"/>
        </w:numPr>
      </w:pPr>
      <w:r>
        <w:t xml:space="preserve">Quantify samples to be sequenced using Picogreen protocol.</w:t>
      </w:r>
    </w:p>
    <w:p>
      <w:pPr>
        <w:numPr>
          <w:numId w:val="1001"/>
          <w:ilvl w:val="0"/>
        </w:numPr>
      </w:pPr>
      <w:r>
        <w:t xml:space="preserve">Calculate sample volume necessary for addition of</w:t>
      </w:r>
      <w:r>
        <w:t xml:space="preserve"> </w:t>
      </w:r>
      <w:r>
        <w:rPr>
          <w:b/>
        </w:rPr>
        <w:t xml:space="preserve">5 ng</w:t>
      </w:r>
      <w:r>
        <w:t xml:space="preserve"> </w:t>
      </w:r>
      <w:r>
        <w:t xml:space="preserve">of template DNA to PCR reactions.</w:t>
      </w:r>
    </w:p>
    <w:p>
      <w:pPr>
        <w:numPr>
          <w:numId w:val="1001"/>
          <w:ilvl w:val="0"/>
        </w:numPr>
      </w:pPr>
      <w:r>
        <w:t xml:space="preserve">PCR reaction composition for 1 rxn:</w:t>
      </w:r>
    </w:p>
    <w:p>
      <w:pPr>
        <w:pStyle w:val="Compact"/>
        <w:numPr>
          <w:numId w:val="1002"/>
          <w:ilvl w:val="1"/>
        </w:numPr>
      </w:pPr>
      <w:r>
        <w:t xml:space="preserve">12.5 uL Mastermix (NEB Q5 High Fidelity, Hot Start PCR Mastermix - M0494)</w:t>
      </w:r>
    </w:p>
    <w:p>
      <w:pPr>
        <w:pStyle w:val="Compact"/>
        <w:numPr>
          <w:numId w:val="1003"/>
          <w:ilvl w:val="2"/>
        </w:numPr>
      </w:pPr>
      <w:r>
        <w:t xml:space="preserve">50% of total volume</w:t>
      </w:r>
    </w:p>
    <w:p>
      <w:pPr>
        <w:pStyle w:val="Compact"/>
        <w:numPr>
          <w:numId w:val="1002"/>
          <w:ilvl w:val="1"/>
        </w:numPr>
      </w:pPr>
      <w:r>
        <w:t xml:space="preserve">2.5 uL combined forward and reverse barcoded primers (10 uM)</w:t>
      </w:r>
    </w:p>
    <w:p>
      <w:pPr>
        <w:pStyle w:val="Compact"/>
        <w:numPr>
          <w:numId w:val="1004"/>
          <w:ilvl w:val="2"/>
        </w:numPr>
      </w:pPr>
      <w:r>
        <w:t xml:space="preserve">10% of total volume</w:t>
      </w:r>
      <w:r>
        <w:br w:type="textWrapping"/>
      </w:r>
    </w:p>
    <w:p>
      <w:pPr>
        <w:pStyle w:val="Compact"/>
        <w:numPr>
          <w:numId w:val="1004"/>
          <w:ilvl w:val="2"/>
        </w:numPr>
      </w:pPr>
      <w:r>
        <w:t xml:space="preserve">Primer plates can be created with the robot method: "make_primer_plate"</w:t>
      </w:r>
    </w:p>
    <w:p>
      <w:pPr>
        <w:pStyle w:val="Compact"/>
        <w:numPr>
          <w:numId w:val="1002"/>
          <w:ilvl w:val="1"/>
        </w:numPr>
      </w:pPr>
      <w:r>
        <w:t xml:space="preserve">1.25 uL BSA (20 mg/mL, NEB B9000S)</w:t>
      </w:r>
    </w:p>
    <w:p>
      <w:pPr>
        <w:pStyle w:val="Compact"/>
        <w:numPr>
          <w:numId w:val="1005"/>
          <w:ilvl w:val="2"/>
        </w:numPr>
      </w:pPr>
      <w:r>
        <w:t xml:space="preserve">5% of total volume</w:t>
      </w:r>
    </w:p>
    <w:p>
      <w:pPr>
        <w:pStyle w:val="Compact"/>
        <w:numPr>
          <w:numId w:val="1002"/>
          <w:ilvl w:val="1"/>
        </w:numPr>
      </w:pPr>
      <w:r>
        <w:t xml:space="preserve">0.625 uL Picogreen reagent</w:t>
      </w:r>
    </w:p>
    <w:p>
      <w:pPr>
        <w:pStyle w:val="Compact"/>
        <w:numPr>
          <w:numId w:val="1006"/>
          <w:ilvl w:val="2"/>
        </w:numPr>
      </w:pPr>
      <w:r>
        <w:t xml:space="preserve">2% of total volume</w:t>
      </w:r>
    </w:p>
    <w:p>
      <w:pPr>
        <w:pStyle w:val="Compact"/>
        <w:numPr>
          <w:numId w:val="1006"/>
          <w:ilvl w:val="2"/>
        </w:numPr>
      </w:pPr>
      <w:r>
        <w:t xml:space="preserve">4x concentration, dilute the 200x stock that comes in the Picogreen kit with 1X TE</w:t>
      </w:r>
    </w:p>
    <w:p>
      <w:pPr>
        <w:numPr>
          <w:numId w:val="1002"/>
          <w:ilvl w:val="1"/>
        </w:numPr>
      </w:pPr>
      <w:r>
        <w:t xml:space="preserve">X uL template (5 ng/reaction)</w:t>
      </w:r>
    </w:p>
    <w:p>
      <w:pPr>
        <w:numPr>
          <w:numId w:val="1002"/>
          <w:ilvl w:val="1"/>
        </w:numPr>
      </w:pPr>
      <w:r>
        <w:t xml:space="preserve">PCR water up to 25 uL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If adding pico &amp; BSA to master mix prior to aliquoting master mix:</w:t>
      </w:r>
    </w:p>
    <w:p>
      <w:pPr>
        <w:pStyle w:val="Compact"/>
        <w:numPr>
          <w:numId w:val="1008"/>
          <w:ilvl w:val="1"/>
        </w:numPr>
      </w:pPr>
      <w:r>
        <w:t xml:space="preserve">total_volume = master_mix + BSA + pico</w:t>
      </w:r>
    </w:p>
    <w:p>
      <w:pPr>
        <w:pStyle w:val="Compact"/>
        <w:numPr>
          <w:numId w:val="1008"/>
          <w:ilvl w:val="1"/>
        </w:numPr>
      </w:pPr>
      <w:r>
        <w:t xml:space="preserve">volume_master_mix = total_volume * 0.870</w:t>
      </w:r>
    </w:p>
    <w:p>
      <w:pPr>
        <w:pStyle w:val="Compact"/>
        <w:numPr>
          <w:numId w:val="1008"/>
          <w:ilvl w:val="1"/>
        </w:numPr>
      </w:pPr>
      <w:r>
        <w:t xml:space="preserve">volume_BSA = total_volume * 0.087</w:t>
      </w:r>
    </w:p>
    <w:p>
      <w:pPr>
        <w:pStyle w:val="Compact"/>
        <w:numPr>
          <w:numId w:val="1008"/>
          <w:ilvl w:val="1"/>
        </w:numPr>
      </w:pPr>
      <w:r>
        <w:t xml:space="preserve">volume_pico = total_volume * 0.043</w:t>
      </w:r>
    </w:p>
    <w:p>
      <w:pPr>
        <w:numPr>
          <w:numId w:val="1009"/>
          <w:ilvl w:val="0"/>
        </w:numPr>
      </w:pPr>
      <w:r>
        <w:t xml:space="preserve">Use robot method "qPCR_wWorklist_altdispense" for setting up PCRs, running triplicate reactions for each sample to be sequenced.</w:t>
      </w:r>
    </w:p>
    <w:p>
      <w:pPr>
        <w:pStyle w:val="Compact"/>
        <w:numPr>
          <w:numId w:val="1009"/>
          <w:ilvl w:val="0"/>
        </w:numPr>
      </w:pPr>
      <w:r>
        <w:t xml:space="preserve">Run the PCR plate on the qPCR thermocycler, using the following cycle:</w:t>
      </w:r>
    </w:p>
    <w:p>
      <w:pPr>
        <w:pStyle w:val="Compact"/>
        <w:numPr>
          <w:numId w:val="1010"/>
          <w:ilvl w:val="1"/>
        </w:numPr>
      </w:pPr>
      <w:r>
        <w:t xml:space="preserve">98</w:t>
      </w:r>
      <w:r>
        <w:t xml:space="preserve">o</w:t>
      </w:r>
      <w:r>
        <w:t xml:space="preserve">C for 30 seconds</w:t>
      </w:r>
    </w:p>
    <w:p>
      <w:pPr>
        <w:pStyle w:val="Compact"/>
        <w:numPr>
          <w:numId w:val="1010"/>
          <w:ilvl w:val="1"/>
        </w:numPr>
      </w:pPr>
      <w:r>
        <w:t xml:space="preserve">30 cycles of:</w:t>
      </w:r>
    </w:p>
    <w:p>
      <w:pPr>
        <w:pStyle w:val="Compact"/>
        <w:numPr>
          <w:numId w:val="1011"/>
          <w:ilvl w:val="2"/>
        </w:numPr>
      </w:pPr>
      <w:r>
        <w:t xml:space="preserve">98</w:t>
      </w:r>
      <w:r>
        <w:t xml:space="preserve">o</w:t>
      </w:r>
      <w:r>
        <w:t xml:space="preserve">C for 5 seconds</w:t>
      </w:r>
    </w:p>
    <w:p>
      <w:pPr>
        <w:pStyle w:val="Compact"/>
        <w:numPr>
          <w:numId w:val="1011"/>
          <w:ilvl w:val="2"/>
        </w:numPr>
      </w:pPr>
      <w:r>
        <w:t xml:space="preserve">50</w:t>
      </w:r>
      <w:r>
        <w:t xml:space="preserve">o</w:t>
      </w:r>
      <w:r>
        <w:t xml:space="preserve">C for 30 seconds</w:t>
      </w:r>
    </w:p>
    <w:p>
      <w:pPr>
        <w:pStyle w:val="Compact"/>
        <w:numPr>
          <w:numId w:val="1011"/>
          <w:ilvl w:val="2"/>
        </w:numPr>
      </w:pPr>
      <w:r>
        <w:t xml:space="preserve">72</w:t>
      </w:r>
      <w:r>
        <w:t xml:space="preserve">o</w:t>
      </w:r>
      <w:r>
        <w:t xml:space="preserve">C for 10 seconds</w:t>
      </w:r>
    </w:p>
    <w:p>
      <w:pPr>
        <w:pStyle w:val="Compact"/>
        <w:numPr>
          <w:numId w:val="1010"/>
          <w:ilvl w:val="1"/>
        </w:numPr>
      </w:pPr>
      <w:r>
        <w:t xml:space="preserve">Final extension of 72</w:t>
      </w:r>
      <w:r>
        <w:t xml:space="preserve">o</w:t>
      </w:r>
      <w:r>
        <w:t xml:space="preserve">C for 2 minutes</w:t>
      </w:r>
    </w:p>
    <w:p>
      <w:pPr>
        <w:pStyle w:val="Compact"/>
        <w:numPr>
          <w:numId w:val="1010"/>
          <w:ilvl w:val="1"/>
        </w:numPr>
      </w:pPr>
      <w:r>
        <w:t xml:space="preserve">Hold at 4</w:t>
      </w:r>
      <w:r>
        <w:t xml:space="preserve">o</w:t>
      </w:r>
      <w:r>
        <w:t xml:space="preserve">C</w:t>
      </w:r>
    </w:p>
    <w:p>
      <w:pPr>
        <w:pStyle w:val="Compact"/>
        <w:numPr>
          <w:numId w:val="1009"/>
          <w:ilvl w:val="0"/>
        </w:numPr>
      </w:pPr>
      <w:r>
        <w:t xml:space="preserve">Combine triplicate PCRs for each samples, transferring samples to a new 96-well plate.</w:t>
      </w:r>
    </w:p>
    <w:p>
      <w:pPr>
        <w:pStyle w:val="Compact"/>
        <w:numPr>
          <w:numId w:val="1012"/>
          <w:ilvl w:val="1"/>
        </w:numPr>
      </w:pPr>
      <w:r>
        <w:t xml:space="preserve">This can be done with the robot method: "plate_pooling"</w:t>
      </w:r>
    </w:p>
    <w:p>
      <w:pPr>
        <w:pStyle w:val="Compact"/>
        <w:numPr>
          <w:numId w:val="1009"/>
          <w:ilvl w:val="0"/>
        </w:numPr>
      </w:pPr>
      <w:r>
        <w:t xml:space="preserve">Perform Sequal PCR purification and normalization</w:t>
      </w:r>
    </w:p>
    <w:p>
      <w:pPr>
        <w:pStyle w:val="Compact"/>
        <w:numPr>
          <w:numId w:val="1013"/>
          <w:ilvl w:val="1"/>
        </w:numPr>
      </w:pPr>
      <w:r>
        <w:t xml:space="preserve">SequalPrep Normalization Plates, Life Technologies, A10510-01</w:t>
      </w:r>
    </w:p>
    <w:p>
      <w:pPr>
        <w:pStyle w:val="Compact"/>
        <w:numPr>
          <w:numId w:val="1013"/>
          <w:ilvl w:val="1"/>
        </w:numPr>
      </w:pPr>
      <w:r>
        <w:t xml:space="preserve">Follow the</w:t>
      </w:r>
      <w:r>
        <w:t xml:space="preserve"> </w:t>
      </w:r>
      <w:hyperlink r:id="rId22">
        <w:r>
          <w:rPr>
            <w:rStyle w:val="Link"/>
          </w:rPr>
          <w:t xml:space="preserve">manufacturer's instructions</w:t>
        </w:r>
      </w:hyperlink>
      <w:r>
        <w:t xml:space="preserve">, using 25 uL of PCR product for each sample.</w:t>
      </w:r>
    </w:p>
    <w:p>
      <w:pPr>
        <w:pStyle w:val="Compact"/>
        <w:numPr>
          <w:numId w:val="1013"/>
          <w:ilvl w:val="1"/>
        </w:numPr>
      </w:pPr>
      <w:r>
        <w:t xml:space="preserve">This can be done with the robot method: "SequalPrep_Assay"</w:t>
      </w:r>
    </w:p>
    <w:p>
      <w:pPr>
        <w:pStyle w:val="Compact"/>
        <w:numPr>
          <w:numId w:val="1009"/>
          <w:ilvl w:val="0"/>
        </w:numPr>
      </w:pPr>
      <w:r>
        <w:t xml:space="preserve">Combine all Sequal'd samples (20 ul/sample) into one tube (or two, if the volume too large).</w:t>
      </w:r>
    </w:p>
    <w:p>
      <w:pPr>
        <w:pStyle w:val="Compact"/>
        <w:numPr>
          <w:numId w:val="1014"/>
          <w:ilvl w:val="1"/>
        </w:numPr>
      </w:pPr>
      <w:r>
        <w:t xml:space="preserve">Pre-weigh the tube to help with the next step (speed-vac).</w:t>
      </w:r>
    </w:p>
    <w:p>
      <w:pPr>
        <w:pStyle w:val="Compact"/>
        <w:numPr>
          <w:numId w:val="1014"/>
          <w:ilvl w:val="1"/>
        </w:numPr>
      </w:pPr>
      <w:r>
        <w:t xml:space="preserve">This can be done with the robot method: "plate_pooling"</w:t>
      </w:r>
    </w:p>
    <w:p>
      <w:pPr>
        <w:pStyle w:val="Compact"/>
        <w:numPr>
          <w:numId w:val="1009"/>
          <w:ilvl w:val="0"/>
        </w:numPr>
      </w:pPr>
      <w:r>
        <w:t xml:space="preserve">Vacuum evaporate samples to concentrate.</w:t>
      </w:r>
    </w:p>
    <w:p>
      <w:pPr>
        <w:pStyle w:val="Compact"/>
        <w:numPr>
          <w:numId w:val="1015"/>
          <w:ilvl w:val="1"/>
        </w:numPr>
      </w:pPr>
      <w:hyperlink r:id="rId23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15"/>
          <w:ilvl w:val="1"/>
        </w:numPr>
      </w:pPr>
      <w:r>
        <w:t xml:space="preserve">You need &gt;=25 uL with a concentration of 5 ng/uL</w:t>
      </w:r>
    </w:p>
    <w:p>
      <w:pPr>
        <w:pStyle w:val="Compact"/>
        <w:numPr>
          <w:numId w:val="1009"/>
          <w:ilvl w:val="0"/>
        </w:numPr>
      </w:pPr>
      <w:r>
        <w:t xml:space="preserve">Quantify concentrated collection of samples using PicoGreen.</w:t>
      </w:r>
    </w:p>
    <w:p>
      <w:pPr>
        <w:pStyle w:val="Compact"/>
        <w:numPr>
          <w:numId w:val="1016"/>
          <w:ilvl w:val="1"/>
        </w:numPr>
      </w:pPr>
      <w:r>
        <w:t xml:space="preserve">Make sure to have &gt;=25 uL with a concentration of 5 ng/uL.</w:t>
      </w:r>
    </w:p>
    <w:p>
      <w:pPr>
        <w:pStyle w:val="Compact"/>
        <w:numPr>
          <w:numId w:val="1009"/>
          <w:ilvl w:val="0"/>
        </w:numPr>
      </w:pPr>
      <w:r>
        <w:t xml:space="preserve">Run concentrated sample on a gel to ensure expected, cleaned product for sequencing.</w:t>
      </w:r>
    </w:p>
    <w:p>
      <w:pPr>
        <w:pStyle w:val="Compact"/>
        <w:numPr>
          <w:numId w:val="1017"/>
          <w:ilvl w:val="1"/>
        </w:numPr>
      </w:pPr>
      <w:r>
        <w:t xml:space="preserve">If additional, unexpected bands are seen, consider</w:t>
      </w:r>
      <w:r>
        <w:t xml:space="preserve"> </w:t>
      </w:r>
      <w:hyperlink r:id="rId24">
        <w:r>
          <w:rPr>
            <w:rStyle w:val="Link"/>
          </w:rPr>
          <w:t xml:space="preserve">Gel extraction</w:t>
        </w:r>
      </w:hyperlink>
      <w:r>
        <w:t xml:space="preserve"> </w:t>
      </w:r>
      <w:r>
        <w:t xml:space="preserve">of the concentrated sample.</w:t>
      </w:r>
    </w:p>
    <w:p>
      <w:pPr>
        <w:pStyle w:val="Compact"/>
        <w:numPr>
          <w:numId w:val="1018"/>
          <w:ilvl w:val="2"/>
        </w:numPr>
      </w:pPr>
      <w:r>
        <w:t xml:space="preserve">This may result in higher sequence quality.</w:t>
      </w:r>
    </w:p>
    <w:p>
      <w:pPr>
        <w:pStyle w:val="Compact"/>
        <w:numPr>
          <w:numId w:val="1009"/>
          <w:ilvl w:val="0"/>
        </w:numPr>
      </w:pPr>
      <w:r>
        <w:t xml:space="preserve">Submission to Cornell Sequencing Facility:</w:t>
      </w:r>
    </w:p>
    <w:p>
      <w:pPr>
        <w:pStyle w:val="Compact"/>
        <w:numPr>
          <w:numId w:val="1019"/>
          <w:ilvl w:val="1"/>
        </w:numPr>
      </w:pPr>
      <w:r>
        <w:t xml:space="preserve">Place 20 uL of sample with a concentration of 5 ng/uL into sequencing tube.</w:t>
      </w:r>
    </w:p>
    <w:p>
      <w:pPr>
        <w:pStyle w:val="Compact"/>
        <w:numPr>
          <w:numId w:val="1019"/>
          <w:ilvl w:val="1"/>
        </w:numPr>
      </w:pPr>
      <w:r>
        <w:t xml:space="preserve">Additionally, submit 10 uL of 100 uM sequencing primers:</w:t>
      </w:r>
    </w:p>
    <w:p>
      <w:pPr>
        <w:pStyle w:val="Compact"/>
        <w:numPr>
          <w:numId w:val="1020"/>
          <w:ilvl w:val="2"/>
        </w:numPr>
      </w:pPr>
      <w:r>
        <w:t xml:space="preserve">forward sequencing primer</w:t>
      </w:r>
    </w:p>
    <w:p>
      <w:pPr>
        <w:pStyle w:val="Compact"/>
        <w:numPr>
          <w:numId w:val="1020"/>
          <w:ilvl w:val="2"/>
        </w:numPr>
      </w:pPr>
      <w:r>
        <w:t xml:space="preserve">reverse sequencing primer</w:t>
      </w:r>
    </w:p>
    <w:p>
      <w:pPr>
        <w:pStyle w:val="Compact"/>
        <w:numPr>
          <w:numId w:val="1020"/>
          <w:ilvl w:val="2"/>
        </w:numPr>
      </w:pPr>
      <w:r>
        <w:t xml:space="preserve">reverse index read primer</w:t>
      </w:r>
    </w:p>
    <w:p>
      <w:pPr>
        <w:pStyle w:val="Heading2"/>
      </w:pPr>
      <w:bookmarkStart w:id="25" w:name="usuall-comments-provided-with-the-sequencing-order"/>
      <w:bookmarkEnd w:id="25"/>
      <w:r>
        <w:t xml:space="preserve">Usuall comments provided with the sequencing order:</w:t>
      </w:r>
    </w:p>
    <w:p>
      <w:pPr>
        <w:pStyle w:val="BlockQuote"/>
      </w:pPr>
      <w:r>
        <w:t xml:space="preserve">We would like to run the 2x300 paired end read platform. Our submitted sample is a pooled set of already barcoded samples. We have supplied custom primers (labeled Primer 1, Index Primer 1, and Primer 2) for the sequencing as well, as follows: Primer 1: combined pad, linker, and gene-specific primer sequence at the 5' end of the region (pad+linker+515F primer) that will produce a long sequence read from the 5' end of the sequence. (Read 1) Index Primer 1: reverse complement of the pad, linker, and gene-specific primer from the 3'end (pad+linker+927R) that will provide an index read of the 3' end of the sequence. (Read 2) Primer 2: Combined pad linker, and gene-specific primer sequence at the 3' end of the region (pad+linker+927R primer) that will produce the second sequence read (300 nt) from the 3' end of the sequence (Read 4). The primers are described in more detail in [Kozich JJ, Westcott SL, Baxter NT, Highlander SK, Schloss PD. (2013). Development of a Dual-Index Sequencing Strategy and Curation Pipeline for Analyzing Amplicon Sequence Data on the MiSeq Illumina Sequencing Platform. Appl Environ Microbiol 79:5112-5120]. 10ul of 100uM primer has been supplied. Please let us know if you have any questions about the primers.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762c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18c07a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7e076a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../gel_extraction/gel_extraction.html" TargetMode="External" /><Relationship Type="http://schemas.openxmlformats.org/officeDocument/2006/relationships/hyperlink" Id="rId23" Target="../speed-vac/speed-vac.html" TargetMode="External" /><Relationship Type="http://schemas.openxmlformats.org/officeDocument/2006/relationships/hyperlink" Id="rId22" Target="https://www.lifetechnologies.com/order/catalog/product/A1051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../gel_extraction/gel_extraction.html" TargetMode="External" /><Relationship Type="http://schemas.openxmlformats.org/officeDocument/2006/relationships/hyperlink" Id="rId23" Target="../speed-vac/speed-vac.html" TargetMode="External" /><Relationship Type="http://schemas.openxmlformats.org/officeDocument/2006/relationships/hyperlink" Id="rId22" Target="https://www.lifetechnologies.com/order/catalog/product/A1051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