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user-designating-layout-of-plates"/>
      <w:bookmarkEnd w:id="21"/>
      <w:r>
        <w:t xml:space="preserve">User designating layout of plates:</w:t>
      </w:r>
    </w:p>
    <w:p>
      <w:pPr>
        <w:numPr>
          <w:numId w:val="1001"/>
          <w:ilvl w:val="0"/>
        </w:numPr>
      </w:pPr>
      <w:r>
        <w:t xml:space="preserve">Reagents will be added to &gt;=1 Costar black 96-well plate(s).</w:t>
      </w:r>
    </w:p>
    <w:p>
      <w:pPr>
        <w:pStyle w:val="Compact"/>
        <w:numPr>
          <w:numId w:val="1001"/>
          <w:ilvl w:val="0"/>
        </w:numPr>
      </w:pPr>
      <w:r>
        <w:t xml:space="preserve">In a 96-well plate format, wells need to be set as either:</w:t>
      </w:r>
    </w:p>
    <w:p>
      <w:pPr>
        <w:pStyle w:val="Compact"/>
        <w:numPr>
          <w:numId w:val="1002"/>
          <w:ilvl w:val="1"/>
        </w:numPr>
      </w:pPr>
      <w:r>
        <w:t xml:space="preserve">standards (dilution series of 7 concentrations)</w:t>
      </w:r>
    </w:p>
    <w:p>
      <w:pPr>
        <w:pStyle w:val="Compact"/>
        <w:numPr>
          <w:numId w:val="1002"/>
          <w:ilvl w:val="1"/>
        </w:numPr>
      </w:pPr>
      <w:r>
        <w:t xml:space="preserve">unknowns</w:t>
      </w:r>
    </w:p>
    <w:p>
      <w:pPr>
        <w:pStyle w:val="Compact"/>
        <w:numPr>
          <w:numId w:val="1002"/>
          <w:ilvl w:val="1"/>
        </w:numPr>
      </w:pPr>
      <w:r>
        <w:t xml:space="preserve">blanks</w:t>
      </w:r>
    </w:p>
    <w:p>
      <w:pPr>
        <w:numPr>
          <w:numId w:val="1001"/>
          <w:ilvl w:val="0"/>
        </w:numPr>
      </w:pPr>
      <w:r>
        <w:t xml:space="preserve">All standards, unknowns, and blanks are performed in duplicate on the same plate</w:t>
      </w:r>
    </w:p>
    <w:p>
      <w:pPr>
        <w:pStyle w:val="Compact"/>
        <w:numPr>
          <w:numId w:val="1001"/>
          <w:ilvl w:val="0"/>
        </w:numPr>
      </w:pPr>
      <w:r>
        <w:t xml:space="preserve">[not critical] Based on the number for standards, unknowns, and blanks, the software would calculate the volumes of the necessary reagents:</w:t>
      </w:r>
    </w:p>
    <w:p>
      <w:pPr>
        <w:pStyle w:val="Compact"/>
        <w:numPr>
          <w:numId w:val="1003"/>
          <w:ilvl w:val="1"/>
        </w:numPr>
      </w:pPr>
      <w:r>
        <w:t xml:space="preserve">TE buffer</w:t>
      </w:r>
    </w:p>
    <w:p>
      <w:pPr>
        <w:pStyle w:val="Compact"/>
        <w:numPr>
          <w:numId w:val="1003"/>
          <w:ilvl w:val="1"/>
        </w:numPr>
      </w:pPr>
      <w:r>
        <w:t xml:space="preserve">standard DNA</w:t>
      </w:r>
    </w:p>
    <w:p>
      <w:pPr>
        <w:numPr>
          <w:numId w:val="1003"/>
          <w:ilvl w:val="1"/>
        </w:numPr>
      </w:pPr>
      <w:r>
        <w:t xml:space="preserve">picogreen reagent</w:t>
      </w:r>
    </w:p>
    <w:p>
      <w:pPr>
        <w:pStyle w:val="Compact"/>
        <w:numPr>
          <w:numId w:val="1003"/>
          <w:ilvl w:val="1"/>
        </w:numPr>
      </w:pPr>
      <w:r>
        <w:t xml:space="preserve">Total TE needed:</w:t>
      </w:r>
    </w:p>
    <w:p>
      <w:pPr>
        <w:pStyle w:val="Compact"/>
        <w:numPr>
          <w:numId w:val="1004"/>
          <w:ilvl w:val="2"/>
        </w:numPr>
      </w:pPr>
      <w:r>
        <w:t xml:space="preserve">raw_total_volume = TE for standards + TE for sample dilutions + TE for picogreen reagent dilution</w:t>
      </w:r>
    </w:p>
    <w:p>
      <w:pPr>
        <w:pStyle w:val="Compact"/>
        <w:numPr>
          <w:numId w:val="1004"/>
          <w:ilvl w:val="2"/>
        </w:numPr>
      </w:pPr>
      <w:r>
        <w:t xml:space="preserve">volume for ALL standards:</w:t>
      </w:r>
    </w:p>
    <w:p>
      <w:pPr>
        <w:pStyle w:val="Compact"/>
        <w:numPr>
          <w:numId w:val="1005"/>
          <w:ilvl w:val="3"/>
        </w:numPr>
      </w:pPr>
      <w:r>
        <w:t xml:space="preserve">1332.5 ul</w:t>
      </w:r>
    </w:p>
    <w:p>
      <w:pPr>
        <w:pStyle w:val="Compact"/>
        <w:numPr>
          <w:numId w:val="1004"/>
          <w:ilvl w:val="2"/>
        </w:numPr>
      </w:pPr>
      <w:r>
        <w:t xml:space="preserve">volume for EACH sample:</w:t>
      </w:r>
    </w:p>
    <w:p>
      <w:pPr>
        <w:pStyle w:val="Compact"/>
        <w:numPr>
          <w:numId w:val="1006"/>
          <w:ilvl w:val="3"/>
        </w:numPr>
      </w:pPr>
      <w:r>
        <w:t xml:space="preserve">99 ul</w:t>
      </w:r>
    </w:p>
    <w:p>
      <w:pPr>
        <w:pStyle w:val="Compact"/>
        <w:numPr>
          <w:numId w:val="1004"/>
          <w:ilvl w:val="2"/>
        </w:numPr>
      </w:pPr>
      <w:r>
        <w:t xml:space="preserve">volume for EACH picogreen reagent dilution:</w:t>
      </w:r>
    </w:p>
    <w:p>
      <w:pPr>
        <w:pStyle w:val="Compact"/>
        <w:numPr>
          <w:numId w:val="1007"/>
          <w:ilvl w:val="3"/>
        </w:numPr>
      </w:pPr>
      <w:r>
        <w:t xml:space="preserve">110 ul</w:t>
      </w:r>
    </w:p>
    <w:p>
      <w:pPr>
        <w:numPr>
          <w:numId w:val="1001"/>
          <w:ilvl w:val="0"/>
        </w:numPr>
      </w:pPr>
      <w:r>
        <w:t xml:space="preserve">The user would also need to designate where each unknown (nucleotide sample) is located on another 96-well plate that holds all of the unknowns.</w:t>
      </w:r>
    </w:p>
    <w:p>
      <w:pPr>
        <w:pStyle w:val="Heading1"/>
      </w:pPr>
      <w:bookmarkStart w:id="22" w:name="user-provided-materials"/>
      <w:bookmarkEnd w:id="22"/>
      <w:r>
        <w:t xml:space="preserve">User-provided materials:</w:t>
      </w:r>
    </w:p>
    <w:p>
      <w:pPr>
        <w:pStyle w:val="Compact"/>
        <w:numPr>
          <w:numId w:val="1008"/>
          <w:ilvl w:val="0"/>
        </w:numPr>
      </w:pPr>
      <w:r>
        <w:t xml:space="preserve">reagent trough of 1x TE buffer</w:t>
      </w:r>
    </w:p>
    <w:p>
      <w:pPr>
        <w:pStyle w:val="Compact"/>
        <w:numPr>
          <w:numId w:val="1008"/>
          <w:ilvl w:val="0"/>
        </w:numPr>
      </w:pPr>
      <w:r>
        <w:t xml:space="preserve">empty reagent trough for preparing picogreen working stock</w:t>
      </w:r>
    </w:p>
    <w:p>
      <w:pPr>
        <w:pStyle w:val="Compact"/>
        <w:numPr>
          <w:numId w:val="1008"/>
          <w:ilvl w:val="0"/>
        </w:numPr>
      </w:pPr>
      <w:r>
        <w:t xml:space="preserve">micro-cfg tube with picogreen reagent</w:t>
      </w:r>
    </w:p>
    <w:p>
      <w:pPr>
        <w:pStyle w:val="Compact"/>
        <w:numPr>
          <w:numId w:val="1008"/>
          <w:ilvl w:val="0"/>
        </w:numPr>
      </w:pPr>
      <w:r>
        <w:t xml:space="preserve">micro-cfg tube with standard template</w:t>
      </w:r>
    </w:p>
    <w:p>
      <w:pPr>
        <w:pStyle w:val="Compact"/>
        <w:numPr>
          <w:numId w:val="1008"/>
          <w:ilvl w:val="0"/>
        </w:numPr>
      </w:pPr>
      <w:r>
        <w:t xml:space="preserve">7 micro-cfg tubes for preparing the standards (per 1 plate)</w:t>
      </w:r>
    </w:p>
    <w:p>
      <w:pPr>
        <w:pStyle w:val="Compact"/>
        <w:numPr>
          <w:numId w:val="1008"/>
          <w:ilvl w:val="0"/>
        </w:numPr>
      </w:pPr>
      <w:r>
        <w:t xml:space="preserve">96-well plate(s) containing unknowns (samples)</w:t>
      </w:r>
    </w:p>
    <w:p>
      <w:pPr>
        <w:pStyle w:val="Compact"/>
        <w:numPr>
          <w:numId w:val="1008"/>
          <w:ilvl w:val="0"/>
        </w:numPr>
      </w:pPr>
      <w:r>
        <w:t xml:space="preserve">Costar black 96-well plate(s) (will contain the final reagent mixtures)</w:t>
      </w:r>
    </w:p>
    <w:p>
      <w:pPr>
        <w:pStyle w:val="Heading1"/>
      </w:pPr>
      <w:bookmarkStart w:id="23" w:name="making-standards-per-plate"/>
      <w:bookmarkEnd w:id="23"/>
      <w:r>
        <w:t xml:space="preserve">Making standards (per plate):</w:t>
      </w:r>
    </w:p>
    <w:p>
      <w:pPr>
        <w:pStyle w:val="Compact"/>
        <w:numPr>
          <w:numId w:val="1009"/>
          <w:ilvl w:val="0"/>
        </w:numPr>
      </w:pPr>
      <w:r>
        <w:t xml:space="preserve">The stock standard is diluted with TE buffer to make the dilution series of standards as specified in the table below: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TE to add (uL)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2ug/mL stock to add (uL)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62.5</w:t>
            </w:r>
          </w:p>
        </w:tc>
        <w:tc>
          <w:p>
            <w:pPr>
              <w:pStyle w:val="Compact"/>
              <w:jc w:val="left"/>
            </w:pPr>
            <w:r>
              <w:t xml:space="preserve">187.5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p>
            <w:pPr>
              <w:pStyle w:val="Compact"/>
              <w:jc w:val="left"/>
            </w:pPr>
            <w:r>
              <w:t xml:space="preserve">125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187.5</w:t>
            </w:r>
          </w:p>
        </w:tc>
        <w:tc>
          <w:p>
            <w:pPr>
              <w:pStyle w:val="Compact"/>
              <w:jc w:val="left"/>
            </w:pPr>
            <w:r>
              <w:t xml:space="preserve">62.5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225</w:t>
            </w:r>
          </w:p>
        </w:tc>
        <w:tc>
          <w:p>
            <w:pPr>
              <w:pStyle w:val="Compact"/>
              <w:jc w:val="left"/>
            </w:pPr>
            <w:r>
              <w:t xml:space="preserve">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237.5</w:t>
            </w:r>
          </w:p>
        </w:tc>
        <w:tc>
          <w:p>
            <w:pPr>
              <w:pStyle w:val="Compact"/>
              <w:jc w:val="left"/>
            </w:pPr>
            <w:r>
              <w:t xml:space="preserve">12.5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245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250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</w:tbl>
    <w:p>
      <w:pPr>
        <w:pStyle w:val="Compact"/>
        <w:numPr>
          <w:numId w:val="1010"/>
          <w:ilvl w:val="0"/>
        </w:numPr>
      </w:pPr>
      <w:r>
        <w:t xml:space="preserve">100 uL of each of the prepared standards is added the the Costar black 96-well plate</w:t>
      </w:r>
    </w:p>
    <w:p>
      <w:pPr>
        <w:pStyle w:val="Compact"/>
        <w:numPr>
          <w:numId w:val="1011"/>
          <w:ilvl w:val="1"/>
        </w:numPr>
      </w:pPr>
      <w:r>
        <w:t xml:space="preserve">The plate/well IDs are determined from the user designation of the final plate layout</w:t>
      </w:r>
    </w:p>
    <w:p>
      <w:pPr>
        <w:pStyle w:val="Heading1"/>
      </w:pPr>
      <w:bookmarkStart w:id="24" w:name="add-unknowns"/>
      <w:bookmarkEnd w:id="24"/>
      <w:r>
        <w:t xml:space="preserve">Add unknowns:</w:t>
      </w:r>
    </w:p>
    <w:p>
      <w:pPr>
        <w:pStyle w:val="Compact"/>
        <w:numPr>
          <w:numId w:val="1012"/>
          <w:ilvl w:val="0"/>
        </w:numPr>
      </w:pPr>
      <w:r>
        <w:t xml:space="preserve">For all unknown wells:</w:t>
      </w:r>
    </w:p>
    <w:p>
      <w:pPr>
        <w:pStyle w:val="Compact"/>
        <w:numPr>
          <w:numId w:val="1013"/>
          <w:ilvl w:val="1"/>
        </w:numPr>
      </w:pPr>
      <w:r>
        <w:t xml:space="preserve">add 99 uL of TE Buffer</w:t>
      </w:r>
    </w:p>
    <w:p>
      <w:pPr>
        <w:pStyle w:val="Compact"/>
        <w:numPr>
          <w:numId w:val="1012"/>
          <w:ilvl w:val="0"/>
        </w:numPr>
      </w:pPr>
      <w:r>
        <w:t xml:space="preserve">For each unknown well:</w:t>
      </w:r>
    </w:p>
    <w:p>
      <w:pPr>
        <w:pStyle w:val="Compact"/>
        <w:numPr>
          <w:numId w:val="1014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5" w:name="add-blanks"/>
      <w:bookmarkEnd w:id="25"/>
      <w:r>
        <w:t xml:space="preserve">Add blanks:</w:t>
      </w:r>
    </w:p>
    <w:p>
      <w:pPr>
        <w:pStyle w:val="Compact"/>
        <w:numPr>
          <w:numId w:val="1015"/>
          <w:ilvl w:val="0"/>
        </w:numPr>
      </w:pPr>
      <w:r>
        <w:t xml:space="preserve">For all blank wells:</w:t>
      </w:r>
    </w:p>
    <w:p>
      <w:pPr>
        <w:pStyle w:val="Compact"/>
        <w:numPr>
          <w:numId w:val="1016"/>
          <w:ilvl w:val="1"/>
        </w:numPr>
      </w:pPr>
      <w:r>
        <w:t xml:space="preserve">add 199 uL of TE Buffer</w:t>
      </w:r>
    </w:p>
    <w:p>
      <w:pPr>
        <w:pStyle w:val="Compact"/>
        <w:numPr>
          <w:numId w:val="1015"/>
          <w:ilvl w:val="0"/>
        </w:numPr>
      </w:pPr>
      <w:r>
        <w:t xml:space="preserve">For each unknown well:</w:t>
      </w:r>
    </w:p>
    <w:p>
      <w:pPr>
        <w:pStyle w:val="Compact"/>
        <w:numPr>
          <w:numId w:val="1017"/>
          <w:ilvl w:val="1"/>
        </w:numPr>
      </w:pPr>
      <w:r>
        <w:t xml:space="preserve">add 1 uL of the corresponding unknown (user-defined correspondence)</w:t>
      </w:r>
    </w:p>
    <w:p>
      <w:pPr>
        <w:pStyle w:val="Heading1"/>
      </w:pPr>
      <w:bookmarkStart w:id="26" w:name="making-working-stock-of-picogreen-reagent-1x-concentration"/>
      <w:bookmarkEnd w:id="26"/>
      <w:r>
        <w:t xml:space="preserve">Making working stock of picogreen reagent (1x concentration):</w:t>
      </w:r>
    </w:p>
    <w:p>
      <w:pPr>
        <w:numPr>
          <w:numId w:val="1018"/>
          <w:ilvl w:val="0"/>
        </w:numPr>
      </w:pPr>
      <w:r>
        <w:t xml:space="preserve">Calculate volume (ul) of TE buffer and 200x picogreen needed:</w:t>
      </w:r>
    </w:p>
    <w:p>
      <w:pPr>
        <w:pStyle w:val="Compact"/>
        <w:numPr>
          <w:numId w:val="1019"/>
          <w:ilvl w:val="1"/>
        </w:numPr>
      </w:pPr>
      <w:r>
        <w:t xml:space="preserve">number_unk_std = number_unknowns + number_standards</w:t>
      </w:r>
    </w:p>
    <w:p>
      <w:pPr>
        <w:pStyle w:val="Compact"/>
        <w:numPr>
          <w:numId w:val="1019"/>
          <w:ilvl w:val="1"/>
        </w:numPr>
      </w:pPr>
      <w:r>
        <w:t xml:space="preserve">total_volume_working_stock = 110 * number_unk_std</w:t>
      </w:r>
    </w:p>
    <w:p>
      <w:pPr>
        <w:pStyle w:val="Compact"/>
        <w:numPr>
          <w:numId w:val="1019"/>
          <w:ilvl w:val="1"/>
        </w:numPr>
      </w:pPr>
      <w:r>
        <w:t xml:space="preserve">total_volume_200x_picogreen = total_volume_working_stock * 1/200</w:t>
      </w:r>
    </w:p>
    <w:p>
      <w:pPr>
        <w:pStyle w:val="Compact"/>
        <w:numPr>
          <w:numId w:val="1019"/>
          <w:ilvl w:val="1"/>
        </w:numPr>
      </w:pPr>
      <w:r>
        <w:t xml:space="preserve">total_volume_TE_buffer = total_volume_working_stock * 199/200</w:t>
      </w:r>
    </w:p>
    <w:p>
      <w:pPr>
        <w:pStyle w:val="Compact"/>
        <w:numPr>
          <w:numId w:val="1018"/>
          <w:ilvl w:val="0"/>
        </w:numPr>
      </w:pPr>
      <w:r>
        <w:t xml:space="preserve">Transfer the necessary volume of TE buffer to the empty reagent trough</w:t>
      </w:r>
    </w:p>
    <w:p>
      <w:pPr>
        <w:pStyle w:val="Compact"/>
        <w:numPr>
          <w:numId w:val="1020"/>
          <w:ilvl w:val="1"/>
        </w:numPr>
      </w:pPr>
      <w:r>
        <w:t xml:space="preserve">total_volume_200x_picogreen</w:t>
      </w:r>
    </w:p>
    <w:p>
      <w:pPr>
        <w:pStyle w:val="Compact"/>
        <w:numPr>
          <w:numId w:val="1020"/>
          <w:ilvl w:val="1"/>
        </w:numPr>
      </w:pPr>
      <w:r>
        <w:t xml:space="preserve">total_volume_TE_buffer</w:t>
      </w:r>
    </w:p>
    <w:p>
      <w:pPr>
        <w:numPr>
          <w:numId w:val="1018"/>
          <w:ilvl w:val="0"/>
        </w:numPr>
      </w:pPr>
      <w:r>
        <w:t xml:space="preserve">Transfer the necessary volume of 200x picogreen to the empty reagent trough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Transfer 100 ul of 1x picogreen reagent into each unknown and standard well</w:t>
      </w:r>
    </w:p>
    <w:p>
      <w:pPr>
        <w:numPr>
          <w:numId w:val="1018"/>
          <w:ilvl w:val="0"/>
        </w:numPr>
      </w:pPr>
      <w:r>
        <w:t xml:space="preserve">Mix reagents in trough by pipetting up and down 5x</w:t>
      </w:r>
    </w:p>
    <w:p>
      <w:pPr>
        <w:numPr>
          <w:numId w:val="1018"/>
          <w:ilvl w:val="0"/>
        </w:numPr>
      </w:pPr>
      <w:r>
        <w:t xml:space="preserve">Alert the user that the method is nearly complete (5 min remaining)</w:t>
      </w:r>
    </w:p>
    <w:p>
      <w:pPr>
        <w:numPr>
          <w:numId w:val="1018"/>
          <w:ilvl w:val="0"/>
        </w:numPr>
      </w:pPr>
      <w:r>
        <w:t xml:space="preserve">Allow plate(s) to incubate for 5 min</w:t>
      </w:r>
    </w:p>
    <w:p>
      <w:pPr>
        <w:numPr>
          <w:numId w:val="1018"/>
          <w:ilvl w:val="0"/>
        </w:numPr>
      </w:pPr>
      <w:r>
        <w:t xml:space="preserve">Alert the user that the method is complete!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31440d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05952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