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eudo-code-for-starlet-method"/>
      <w:bookmarkEnd w:id="21"/>
      <w:r>
        <w:t xml:space="preserve">Pseudo-code for STARlet method</w:t>
      </w:r>
    </w:p>
    <w:p>
      <w:pPr>
        <w:pStyle w:val="Heading1"/>
      </w:pPr>
      <w:bookmarkStart w:id="22" w:name="authorship"/>
      <w:bookmarkEnd w:id="22"/>
      <w:r>
        <w:t xml:space="preserve">Authorship</w:t>
      </w:r>
    </w:p>
    <w:p>
      <w:r>
        <w:t xml:space="preserve">Nick Youngblut (2014)</w:t>
      </w:r>
    </w:p>
    <w:p>
      <w:pPr>
        <w:pStyle w:val="Heading1"/>
      </w:pPr>
      <w:bookmarkStart w:id="23" w:name="user-designating-layout-of-plates"/>
      <w:bookmarkEnd w:id="23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4" w:name="user-provided-materials"/>
      <w:bookmarkEnd w:id="24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5" w:name="making-standards-per-plate"/>
      <w:bookmarkEnd w:id="25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6" w:name="add-unknowns"/>
      <w:bookmarkEnd w:id="26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7" w:name="add-blanks"/>
      <w:bookmarkEnd w:id="27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8" w:name="making-working-stock-of-picogreen-reagent-1x-concentration"/>
      <w:bookmarkEnd w:id="28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702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6e78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