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authorship"/>
      <w:bookmarkEnd w:id="22"/>
      <w:r>
        <w:t xml:space="preserve">Authorship</w:t>
      </w:r>
    </w:p>
    <w:p>
      <w:r>
        <w:t xml:space="preserve">Dan Buckley (2006)</w:t>
      </w:r>
    </w:p>
    <w:p>
      <w:pPr>
        <w:pStyle w:val="Heading2"/>
      </w:pPr>
      <w:bookmarkStart w:id="23" w:name="materials"/>
      <w:bookmarkEnd w:id="23"/>
      <w:r>
        <w:t xml:space="preserve">Materials</w:t>
      </w:r>
    </w:p>
    <w:p>
      <w:pPr>
        <w:pStyle w:val="Heading3"/>
      </w:pPr>
      <w:bookmarkStart w:id="24" w:name="recipes-listed-at-end-of-this-protocol"/>
      <w:bookmarkEnd w:id="24"/>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5" w:name="other"/>
      <w:bookmarkEnd w:id="25"/>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6" w:name="pre-extraction-checklist"/>
      <w:bookmarkEnd w:id="26"/>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7" w:name="method"/>
      <w:bookmarkEnd w:id="27"/>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8" w:name="ctab-addition"/>
      <w:bookmarkEnd w:id="28"/>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9" w:name="rinsing-the-soil-pellet"/>
      <w:bookmarkEnd w:id="29"/>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30" w:name="processing-the-combined-aqueous-layers"/>
      <w:bookmarkEnd w:id="30"/>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1" w:name="optional"/>
      <w:bookmarkEnd w:id="31"/>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2" w:name="reagent-recipes"/>
      <w:bookmarkEnd w:id="32"/>
      <w:r>
        <w:t xml:space="preserve">Reagent recipes</w:t>
      </w:r>
    </w:p>
    <w:p>
      <w:pPr>
        <w:pStyle w:val="Heading3"/>
      </w:pPr>
      <w:bookmarkStart w:id="33" w:name="ctab-10-nacl-0.7m"/>
      <w:bookmarkEnd w:id="33"/>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4" w:name="extraction-buffer-240-mm-phosphate-buffer-0.5-n-lauryl-sarcosine"/>
      <w:bookmarkEnd w:id="34"/>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5" w:name="peg-solution-30-peg-1.6m-nacl"/>
      <w:bookmarkEnd w:id="35"/>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6" w:name="te-buffer-10-mm-tris-1-mm-edta-ph-8"/>
      <w:bookmarkEnd w:id="36"/>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a33d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b185b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a3ec6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3795817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673d9c5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5d952dc5"/>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35fba6cf"/>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