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1ad2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3959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e45d9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e38500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46cb775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afb0ec66"/>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9641d12b"/>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