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BlockQuote"/>
      </w:pPr>
      <w:r>
        <w:t xml:space="preserve">Griffiths RI, Whiteley AS, O'Donnell AG, Bailey MJ. (2000). Rapid Method for Coextraction of DNA and RNA from Natural Environments for Analysis of Ribosomal DNA- and rRNA-Based Microbial Community Composition. Appl Environ Microbiol 66:5488-5491.</w:t>
      </w:r>
    </w:p>
    <w:p>
      <w:pPr>
        <w:pStyle w:val="Heading2"/>
      </w:pPr>
      <w:bookmarkStart w:id="22" w:name="materials"/>
      <w:bookmarkEnd w:id="22"/>
      <w:r>
        <w:t xml:space="preserve">Materials</w:t>
      </w:r>
    </w:p>
    <w:p>
      <w:pPr>
        <w:pStyle w:val="Heading3"/>
      </w:pPr>
      <w:bookmarkStart w:id="23" w:name="recipes-listed-at-end-of-this-protocol"/>
      <w:bookmarkEnd w:id="23"/>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4" w:name="other"/>
      <w:bookmarkEnd w:id="24"/>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5" w:name="pre-extraction-checklist"/>
      <w:bookmarkEnd w:id="25"/>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6" w:name="method"/>
      <w:bookmarkEnd w:id="26"/>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7" w:name="ctab-addition"/>
      <w:bookmarkEnd w:id="27"/>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8" w:name="rinsing-the-soil-pellet"/>
      <w:bookmarkEnd w:id="28"/>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29" w:name="processing-the-combined-aqueous-layers"/>
      <w:bookmarkEnd w:id="29"/>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0" w:name="optional"/>
      <w:bookmarkEnd w:id="30"/>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1" w:name="reagent-recipes"/>
      <w:bookmarkEnd w:id="31"/>
      <w:r>
        <w:t xml:space="preserve">Reagent recipes</w:t>
      </w:r>
    </w:p>
    <w:p>
      <w:pPr>
        <w:pStyle w:val="Heading3"/>
      </w:pPr>
      <w:bookmarkStart w:id="32" w:name="ctab-10-nacl-0.7m"/>
      <w:bookmarkEnd w:id="32"/>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3" w:name="extraction-buffer-240-mm-phosphate-buffer-0.5-n-lauryl-sarcosine"/>
      <w:bookmarkEnd w:id="33"/>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4" w:name="peg-solution-30-peg-1.6m-nacl"/>
      <w:bookmarkEnd w:id="34"/>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5" w:name="te-buffer-10-mm-tris-1-mm-edta-ph-8"/>
      <w:bookmarkEnd w:id="35"/>
      <w:r>
        <w:t xml:space="preserve">TE buffer (10 mM Tris, 1 mM EDTA, pH 8)</w:t>
      </w:r>
    </w:p>
    <w:p>
      <w:pPr>
        <w:pStyle w:val="Compact"/>
        <w:numPr>
          <w:numId w:val="1035"/>
          <w:ilvl w:val="0"/>
        </w:numPr>
      </w:pPr>
      <w:r>
        <w:t xml:space="preserve">Make stock solutions in molecular grade water:</w:t>
      </w:r>
    </w:p>
    <w:p>
      <w:pPr>
        <w:pStyle w:val="Compact"/>
        <w:numPr>
          <w:numId w:val="1036"/>
          <w:ilvl w:val="1"/>
        </w:numPr>
      </w:pPr>
      <w:r>
        <w:t xml:space="preserve">1 M Tris (MW = 121.4 g/mol)</w:t>
      </w:r>
    </w:p>
    <w:p>
      <w:pPr>
        <w:pStyle w:val="Compact"/>
        <w:numPr>
          <w:numId w:val="1037"/>
          <w:ilvl w:val="2"/>
        </w:numPr>
      </w:pPr>
      <w:r>
        <w:t xml:space="preserve">pH to 8.0 using HCl</w:t>
      </w:r>
    </w:p>
    <w:p>
      <w:pPr>
        <w:pStyle w:val="Compact"/>
        <w:numPr>
          <w:numId w:val="1036"/>
          <w:ilvl w:val="1"/>
        </w:numPr>
      </w:pPr>
      <w:r>
        <w:t xml:space="preserve">0.5 M EDTA disodium salt (MW = 372.24 g/mol)</w:t>
      </w:r>
    </w:p>
    <w:p>
      <w:pPr>
        <w:pStyle w:val="Compact"/>
        <w:numPr>
          <w:numId w:val="1038"/>
          <w:ilvl w:val="2"/>
        </w:numPr>
      </w:pPr>
      <w:r>
        <w:t xml:space="preserve">pH to 8.0 using NaOH</w:t>
      </w:r>
    </w:p>
    <w:p>
      <w:pPr>
        <w:pStyle w:val="Compact"/>
        <w:numPr>
          <w:numId w:val="1038"/>
          <w:ilvl w:val="2"/>
        </w:numPr>
      </w:pPr>
      <w:r>
        <w:rPr>
          <w:b/>
        </w:rPr>
        <w:t xml:space="preserve">Note:</w:t>
      </w:r>
      <w:r>
        <w:t xml:space="preserve"> </w:t>
      </w:r>
      <w:r>
        <w:t xml:space="preserve">EDTA will not be soluble until pH reaches 8</w:t>
      </w:r>
    </w:p>
    <w:p>
      <w:pPr>
        <w:pStyle w:val="Compact"/>
        <w:numPr>
          <w:numId w:val="1039"/>
          <w:ilvl w:val="3"/>
        </w:numPr>
      </w:pPr>
      <w:r>
        <w:t xml:space="preserve">This may take hours.</w:t>
      </w:r>
    </w:p>
    <w:p>
      <w:pPr>
        <w:pStyle w:val="Compact"/>
        <w:numPr>
          <w:numId w:val="1039"/>
          <w:ilvl w:val="3"/>
        </w:numPr>
      </w:pPr>
      <w:r>
        <w:t xml:space="preserve">Use stirring, heat (if desired), &amp; time</w:t>
      </w:r>
    </w:p>
    <w:p>
      <w:pPr>
        <w:pStyle w:val="Compact"/>
        <w:numPr>
          <w:numId w:val="1035"/>
          <w:ilvl w:val="0"/>
        </w:numPr>
      </w:pPr>
      <w:r>
        <w:t xml:space="preserve">TE buffer:</w:t>
      </w:r>
    </w:p>
    <w:p>
      <w:pPr>
        <w:pStyle w:val="Compact"/>
        <w:numPr>
          <w:numId w:val="1040"/>
          <w:ilvl w:val="1"/>
        </w:numPr>
      </w:pPr>
      <w:r>
        <w:t xml:space="preserve">39.5 ml molecular grade water</w:t>
      </w:r>
    </w:p>
    <w:p>
      <w:pPr>
        <w:pStyle w:val="Compact"/>
        <w:numPr>
          <w:numId w:val="1040"/>
          <w:ilvl w:val="1"/>
        </w:numPr>
      </w:pPr>
      <w:r>
        <w:t xml:space="preserve">400 ul of 1 M Tris</w:t>
      </w:r>
    </w:p>
    <w:p>
      <w:pPr>
        <w:pStyle w:val="Compact"/>
        <w:numPr>
          <w:numId w:val="1041"/>
          <w:ilvl w:val="2"/>
        </w:numPr>
      </w:pPr>
      <w:r>
        <w:t xml:space="preserve">Final conc.: 10 mM Tris</w:t>
      </w:r>
    </w:p>
    <w:p>
      <w:pPr>
        <w:pStyle w:val="Compact"/>
        <w:numPr>
          <w:numId w:val="1040"/>
          <w:ilvl w:val="1"/>
        </w:numPr>
      </w:pPr>
      <w:r>
        <w:t xml:space="preserve">80 ul of 0.5 M EDTA</w:t>
      </w:r>
    </w:p>
    <w:p>
      <w:pPr>
        <w:pStyle w:val="Compact"/>
        <w:numPr>
          <w:numId w:val="1042"/>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03e7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784571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74a1c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844d0f5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896a9eb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3e40fcc6"/>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78087001"/>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