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authorship"/>
      <w:bookmarkEnd w:id="22"/>
      <w:r>
        <w:t xml:space="preserve">Authorship</w:t>
      </w:r>
    </w:p>
    <w:p>
      <w:r>
        <w:t xml:space="preserve">Dan Buckley, Ashley Campbell, Chris Gaby, Chantal Koechli, and Nick Youngblut (2014)</w:t>
      </w:r>
    </w:p>
    <w:p>
      <w:pPr>
        <w:pStyle w:val="Heading2"/>
      </w:pPr>
      <w:bookmarkStart w:id="23" w:name="collecting-soil"/>
      <w:bookmarkEnd w:id="23"/>
      <w:r>
        <w:t xml:space="preserve">Collecting soil</w:t>
      </w:r>
    </w:p>
    <w:p>
      <w:pPr>
        <w:pStyle w:val="Heading3"/>
      </w:pPr>
      <w:bookmarkStart w:id="24" w:name="equipment"/>
      <w:bookmarkEnd w:id="24"/>
      <w:r>
        <w:t xml:space="preserve">Equipment</w:t>
      </w:r>
    </w:p>
    <w:p>
      <w:pPr>
        <w:pStyle w:val="Heading4"/>
      </w:pPr>
      <w:bookmarkStart w:id="25" w:name="required"/>
      <w:bookmarkEnd w:id="25"/>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6" w:name="optional"/>
      <w:bookmarkEnd w:id="26"/>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7" w:name="method"/>
      <w:bookmarkEnd w:id="27"/>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8" w:name="soil-sieving"/>
      <w:bookmarkEnd w:id="28"/>
      <w:r>
        <w:t xml:space="preserve">Soil sieving</w:t>
      </w:r>
    </w:p>
    <w:p>
      <w:pPr>
        <w:pStyle w:val="BlockQuote"/>
      </w:pPr>
      <w:r>
        <w:t xml:space="preserve">Goal: break down soil structure (homogenize) and combine samples from the same sample point.</w:t>
      </w:r>
    </w:p>
    <w:p>
      <w:pPr>
        <w:pStyle w:val="Heading3"/>
      </w:pPr>
      <w:bookmarkStart w:id="29" w:name="equipment-1"/>
      <w:bookmarkEnd w:id="29"/>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30" w:name="method-1"/>
      <w:bookmarkEnd w:id="30"/>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1" w:name="downstream-sampling-processing"/>
      <w:bookmarkEnd w:id="31"/>
      <w:r>
        <w:t xml:space="preserve">Downstream sampling processing</w:t>
      </w:r>
    </w:p>
    <w:p>
      <w:pPr>
        <w:pStyle w:val="Heading3"/>
      </w:pPr>
      <w:bookmarkStart w:id="32" w:name="freezing"/>
      <w:bookmarkEnd w:id="32"/>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3" w:name="geochemical-analyses"/>
      <w:bookmarkEnd w:id="33"/>
      <w:r>
        <w:t xml:space="preserve">Geochemical analyses</w:t>
      </w:r>
    </w:p>
    <w:p>
      <w:pPr>
        <w:pStyle w:val="Compact"/>
        <w:numPr>
          <w:numId w:val="1008"/>
          <w:ilvl w:val="0"/>
        </w:numPr>
      </w:pPr>
      <w:hyperlink r:id="rId34">
        <w:r>
          <w:rPr>
            <w:rStyle w:val="Link"/>
          </w:rPr>
          <w:t xml:space="preserve">Cornell Nutrient Analysis Laboratory</w:t>
        </w:r>
      </w:hyperlink>
    </w:p>
    <w:p>
      <w:pPr>
        <w:pStyle w:val="Heading3"/>
      </w:pPr>
      <w:bookmarkStart w:id="35" w:name="stable-isotope-analysis"/>
      <w:bookmarkEnd w:id="35"/>
      <w:r>
        <w:t xml:space="preserve">Stable isotope analysis</w:t>
      </w:r>
    </w:p>
    <w:p>
      <w:pPr>
        <w:pStyle w:val="Compact"/>
        <w:numPr>
          <w:numId w:val="1009"/>
          <w:ilvl w:val="0"/>
        </w:numPr>
      </w:pPr>
      <w:hyperlink r:id="rId36">
        <w:r>
          <w:rPr>
            <w:rStyle w:val="Link"/>
          </w:rPr>
          <w:t xml:space="preserve">Cornell Stable Isotope Laboratory</w:t>
        </w:r>
      </w:hyperlink>
    </w:p>
    <w:p>
      <w:pPr>
        <w:pStyle w:val="Heading3"/>
      </w:pPr>
      <w:bookmarkStart w:id="37" w:name="determine-soil-dry-weight-and-water-content"/>
      <w:bookmarkEnd w:id="37"/>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8" w:name="sean-berthrongs-method-for-determining-water-holding-capacity"/>
      <w:bookmarkEnd w:id="38"/>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9" w:name="microcosm-incubations"/>
      <w:bookmarkEnd w:id="39"/>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ffe6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61a8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