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organic-content"/>
      <w:bookmarkEnd w:id="21"/>
      <w:r>
        <w:t xml:space="preserve">Soil organic content</w:t>
      </w:r>
    </w:p>
    <w:p>
      <w:pPr>
        <w:pStyle w:val="Heading2"/>
      </w:pPr>
      <w:bookmarkStart w:id="22" w:name="application"/>
      <w:bookmarkEnd w:id="22"/>
      <w:r>
        <w:t xml:space="preserve">Application</w:t>
      </w:r>
    </w:p>
    <w:p>
      <w:r>
        <w:t xml:space="preserve">The mineral content consists of the plant ash and soil particles that remain after removal of organic matter. The percentage of organic matter lost on ignition can be used to define organic soils in place of estimates of organic matter by the Walkley-Black organic C method. The determination of organic matter by loss on ignition is a taxonomic criterion for organic soil materials (Soil Survey Staff, 2014). Organic C data by Walkley-Black are generally considered invalid if organic C &gt;8 %.</w:t>
      </w:r>
    </w:p>
    <w:p>
      <w:pPr>
        <w:pStyle w:val="Heading2"/>
      </w:pPr>
      <w:bookmarkStart w:id="23" w:name="summary-of-method"/>
      <w:bookmarkEnd w:id="23"/>
      <w:r>
        <w:t xml:space="preserve">Summary of Method</w:t>
      </w:r>
    </w:p>
    <w:p>
      <w:pPr>
        <w:pStyle w:val="Compact"/>
        <w:numPr>
          <w:numId w:val="1001"/>
          <w:ilvl w:val="0"/>
        </w:numPr>
      </w:pPr>
      <w:r>
        <w:t xml:space="preserve">Dry sample overnight at 110</w:t>
      </w:r>
      <w:r>
        <w:t xml:space="preserve">o</w:t>
      </w:r>
      <w:r>
        <w:t xml:space="preserve">C.</w:t>
      </w:r>
    </w:p>
    <w:p>
      <w:pPr>
        <w:pStyle w:val="Compact"/>
        <w:numPr>
          <w:numId w:val="1001"/>
          <w:ilvl w:val="0"/>
        </w:numPr>
      </w:pPr>
      <w:r>
        <w:t xml:space="preserve">Cool and weigh.</w:t>
      </w:r>
    </w:p>
    <w:p>
      <w:pPr>
        <w:pStyle w:val="Compact"/>
        <w:numPr>
          <w:numId w:val="1001"/>
          <w:ilvl w:val="0"/>
        </w:numPr>
      </w:pPr>
      <w:r>
        <w:t xml:space="preserve">Place sample in a cold muffle furnace and raise the temperature to 400</w:t>
      </w:r>
      <w:r>
        <w:t xml:space="preserve">o</w:t>
      </w:r>
      <w:r>
        <w:t xml:space="preserve">C.</w:t>
      </w:r>
    </w:p>
    <w:p>
      <w:pPr>
        <w:pStyle w:val="Compact"/>
        <w:numPr>
          <w:numId w:val="1001"/>
          <w:ilvl w:val="0"/>
        </w:numPr>
      </w:pPr>
      <w:r>
        <w:t xml:space="preserve">Heat sample overnight (16 h), cool, and weigh.</w:t>
      </w:r>
    </w:p>
    <w:p>
      <w:pPr>
        <w:pStyle w:val="Compact"/>
        <w:numPr>
          <w:numId w:val="1001"/>
          <w:ilvl w:val="0"/>
        </w:numPr>
      </w:pPr>
      <w:r>
        <w:t xml:space="preserve">The ratio of the weights (400</w:t>
      </w:r>
      <w:r>
        <w:t xml:space="preserve">o</w:t>
      </w:r>
      <w:r>
        <w:t xml:space="preserve">C/110</w:t>
      </w:r>
      <w:r>
        <w:t xml:space="preserve">o</w:t>
      </w:r>
      <w:r>
        <w:t xml:space="preserve">C) is the mineral content percentage.</w:t>
      </w:r>
    </w:p>
    <w:p>
      <w:pPr>
        <w:pStyle w:val="Compact"/>
        <w:numPr>
          <w:numId w:val="1001"/>
          <w:ilvl w:val="0"/>
        </w:numPr>
      </w:pPr>
      <w:r>
        <w:t xml:space="preserve">The Organic content % can be derived from the mineral content %.</w:t>
      </w:r>
    </w:p>
    <w:p>
      <w:pPr>
        <w:pStyle w:val="Heading2"/>
      </w:pPr>
      <w:bookmarkStart w:id="24" w:name="interferences"/>
      <w:bookmarkEnd w:id="24"/>
      <w:r>
        <w:t xml:space="preserve">Interferences</w:t>
      </w:r>
    </w:p>
    <w:p>
      <w:r>
        <w:t xml:space="preserve">The sample must be placed in a cold muffle furnace to prevent rapid combustion and sample splattering</w:t>
      </w:r>
    </w:p>
    <w:p>
      <w:pPr>
        <w:pStyle w:val="Heading2"/>
      </w:pPr>
      <w:bookmarkStart w:id="25" w:name="safety"/>
      <w:bookmarkEnd w:id="25"/>
      <w:r>
        <w:t xml:space="preserve">Safety</w:t>
      </w:r>
    </w:p>
    <w:p>
      <w:r>
        <w:t xml:space="preserve">Use caution when the muffle furnace is hot. Wear protective clothing and goggles. Handle the heated material with tongs.</w:t>
      </w:r>
    </w:p>
    <w:p>
      <w:pPr>
        <w:pStyle w:val="Heading2"/>
      </w:pPr>
      <w:bookmarkStart w:id="26" w:name="equipment"/>
      <w:bookmarkEnd w:id="26"/>
      <w:r>
        <w:t xml:space="preserve">Equipment</w:t>
      </w:r>
    </w:p>
    <w:p>
      <w:pPr>
        <w:pStyle w:val="Compact"/>
        <w:numPr>
          <w:numId w:val="1002"/>
          <w:ilvl w:val="0"/>
        </w:numPr>
      </w:pPr>
      <w:r>
        <w:t xml:space="preserve">Metal weighing tins</w:t>
      </w:r>
    </w:p>
    <w:p>
      <w:pPr>
        <w:pStyle w:val="Compact"/>
        <w:numPr>
          <w:numId w:val="1002"/>
          <w:ilvl w:val="0"/>
        </w:numPr>
      </w:pPr>
      <w:r>
        <w:t xml:space="preserve">Oven, 110</w:t>
      </w:r>
      <w:r>
        <w:t xml:space="preserve">o</w:t>
      </w:r>
      <w:r>
        <w:t xml:space="preserve">C</w:t>
      </w:r>
    </w:p>
    <w:p>
      <w:pPr>
        <w:pStyle w:val="Compact"/>
        <w:numPr>
          <w:numId w:val="1002"/>
          <w:ilvl w:val="0"/>
        </w:numPr>
      </w:pPr>
      <w:r>
        <w:t xml:space="preserve">Muffle furnace, 400</w:t>
      </w:r>
      <w:r>
        <w:t xml:space="preserve">o</w:t>
      </w:r>
      <w:r>
        <w:t xml:space="preserve">C</w:t>
      </w:r>
    </w:p>
    <w:p>
      <w:pPr>
        <w:pStyle w:val="Compact"/>
        <w:numPr>
          <w:numId w:val="1002"/>
          <w:ilvl w:val="0"/>
        </w:numPr>
      </w:pPr>
      <w:r>
        <w:t xml:space="preserve">Electronic Balance, 0.01-g sensitivity</w:t>
      </w:r>
    </w:p>
    <w:p>
      <w:pPr>
        <w:pStyle w:val="Compact"/>
        <w:numPr>
          <w:numId w:val="1002"/>
          <w:ilvl w:val="0"/>
        </w:numPr>
      </w:pPr>
      <w:r>
        <w:t xml:space="preserve">A lab notebook for recording values</w:t>
      </w:r>
    </w:p>
    <w:p>
      <w:pPr>
        <w:pStyle w:val="Heading2"/>
      </w:pPr>
      <w:bookmarkStart w:id="27" w:name="procedure"/>
      <w:bookmarkEnd w:id="27"/>
      <w:r>
        <w:t xml:space="preserve">Procedure</w:t>
      </w:r>
    </w:p>
    <w:p>
      <w:pPr>
        <w:pStyle w:val="Compact"/>
        <w:numPr>
          <w:numId w:val="1003"/>
          <w:ilvl w:val="0"/>
        </w:numPr>
      </w:pPr>
      <w:r>
        <w:t xml:space="preserve">Place a 10 to 15 g sample in a tared weighing tin.</w:t>
      </w:r>
    </w:p>
    <w:p>
      <w:pPr>
        <w:pStyle w:val="Compact"/>
        <w:numPr>
          <w:numId w:val="1003"/>
          <w:ilvl w:val="0"/>
        </w:numPr>
      </w:pPr>
      <w:r>
        <w:t xml:space="preserve">Dry sample at 110</w:t>
      </w:r>
      <w:r>
        <w:t xml:space="preserve">o</w:t>
      </w:r>
      <w:r>
        <w:t xml:space="preserve">C overnight.</w:t>
      </w:r>
    </w:p>
    <w:p>
      <w:pPr>
        <w:pStyle w:val="Compact"/>
        <w:numPr>
          <w:numId w:val="1003"/>
          <w:ilvl w:val="0"/>
        </w:numPr>
      </w:pPr>
      <w:r>
        <w:t xml:space="preserve">Remove sample from oven, cap, and cool in a desiccator.</w:t>
      </w:r>
    </w:p>
    <w:p>
      <w:pPr>
        <w:pStyle w:val="Compact"/>
        <w:numPr>
          <w:numId w:val="1003"/>
          <w:ilvl w:val="0"/>
        </w:numPr>
      </w:pPr>
      <w:r>
        <w:t xml:space="preserve">When cool, record weight to nearest 0.01 g</w:t>
      </w:r>
    </w:p>
    <w:p>
      <w:pPr>
        <w:pStyle w:val="Compact"/>
        <w:numPr>
          <w:numId w:val="1003"/>
          <w:ilvl w:val="0"/>
        </w:numPr>
      </w:pPr>
      <w:r>
        <w:t xml:space="preserve">Place sample and weighing tin in a cold muffle furnace. Raise temperature to 400</w:t>
      </w:r>
      <w:r>
        <w:t xml:space="preserve">o</w:t>
      </w:r>
      <w:r>
        <w:t xml:space="preserve">C. Heat overnight (16 h).</w:t>
      </w:r>
    </w:p>
    <w:p>
      <w:pPr>
        <w:pStyle w:val="Compact"/>
        <w:numPr>
          <w:numId w:val="1003"/>
          <w:ilvl w:val="0"/>
        </w:numPr>
      </w:pPr>
      <w:r>
        <w:t xml:space="preserve">Remove sample from oven, cap, and cool in a desiccator.</w:t>
      </w:r>
    </w:p>
    <w:p>
      <w:pPr>
        <w:pStyle w:val="Compact"/>
        <w:numPr>
          <w:numId w:val="1003"/>
          <w:ilvl w:val="0"/>
        </w:numPr>
      </w:pPr>
      <w:r>
        <w:t xml:space="preserve">When cool, record sample weight to nearest 0.01 g.</w:t>
      </w:r>
    </w:p>
    <w:p>
      <w:pPr>
        <w:pStyle w:val="Heading2"/>
      </w:pPr>
      <w:bookmarkStart w:id="28" w:name="calculations"/>
      <w:bookmarkEnd w:id="28"/>
      <w:r>
        <w:t xml:space="preserve">Calculations</w:t>
      </w:r>
    </w:p>
    <w:p>
      <w:pPr>
        <w:pStyle w:val="Compact"/>
        <w:numPr>
          <w:numId w:val="1004"/>
          <w:ilvl w:val="0"/>
        </w:numPr>
      </w:pPr>
      <m:oMath>
        <m:r>
          <m:rPr>
            <m:sty m:val="p"/>
          </m:rPr>
          <m:t>Mineral Content (%)</m:t>
        </m:r>
        <m:r>
          <m:rPr>
            <m:sty m:val="p"/>
          </m:rPr>
          <m:t>=</m:t>
        </m:r>
        <m:r>
          <m:rPr>
            <m:sty m:val="p"/>
          </m:rPr>
          <m:t>(</m:t>
        </m:r>
        <m:sSub>
          <m:e>
            <m:r>
              <m:rPr>
                <m:sty m:val="p"/>
              </m:rPr>
              <m:t>R</m:t>
            </m:r>
          </m:e>
          <m:sub>
            <m:r>
              <m:rPr>
                <m:sty m:val="p"/>
              </m:rPr>
              <m:t>W</m:t>
            </m:r>
          </m:sub>
        </m:sSub>
        <m:r>
          <m:rPr>
            <m:sty m:val="p"/>
          </m:rPr>
          <m:t>/</m:t>
        </m:r>
        <m:r>
          <m:rPr>
            <m:sty m:val="p"/>
          </m:rPr>
          <m:t>O</m:t>
        </m:r>
        <m:sSub>
          <m:e>
            <m:r>
              <m:rPr>
                <m:sty m:val="p"/>
              </m:rPr>
              <m:t>D</m:t>
            </m:r>
          </m:e>
          <m:sub>
            <m:r>
              <m:rPr>
                <m:sty m:val="p"/>
              </m:rPr>
              <m:t>W</m:t>
            </m:r>
          </m:sub>
        </m:sSub>
        <m:r>
          <m:rPr>
            <m:sty m:val="p"/>
          </m:rPr>
          <m:t>)</m:t>
        </m:r>
        <m:r>
          <m:rPr>
            <m:sty m:val="p"/>
          </m:rPr>
          <m:t>*</m:t>
        </m:r>
        <m:r>
          <m:rPr>
            <m:sty m:val="p"/>
          </m:rPr>
          <m:t>100</m:t>
        </m:r>
      </m:oMath>
    </w:p>
    <w:p>
      <w:pPr>
        <w:pStyle w:val="Compact"/>
        <w:numPr>
          <w:numId w:val="1005"/>
          <w:ilvl w:val="1"/>
        </w:numPr>
      </w:pPr>
      <w:r>
        <w:t xml:space="preserve">Where:</w:t>
      </w:r>
    </w:p>
    <w:p>
      <w:pPr>
        <w:pStyle w:val="Compact"/>
        <w:numPr>
          <w:numId w:val="1005"/>
          <w:ilvl w:val="1"/>
        </w:numPr>
      </w:pPr>
      <m:oMath>
        <m:sSub>
          <m:e>
            <m:r>
              <m:rPr>
                <m:sty m:val="p"/>
              </m:rPr>
              <m:t>R</m:t>
            </m:r>
          </m:e>
          <m:sub>
            <m:r>
              <m:rPr>
                <m:sty m:val="p"/>
              </m:rPr>
              <m:t>W</m:t>
            </m:r>
          </m:sub>
        </m:sSub>
        <m:r>
          <m:rPr>
            <m:sty m:val="p"/>
          </m:rPr>
          <m:t>=</m:t>
        </m:r>
        <m:r>
          <m:rPr>
            <m:sty m:val="p"/>
          </m:rPr>
          <m:t>Residue weight after ignition</m:t>
        </m:r>
      </m:oMath>
    </w:p>
    <w:p>
      <w:pPr>
        <w:pStyle w:val="Compact"/>
        <w:numPr>
          <w:numId w:val="1005"/>
          <w:ilvl w:val="1"/>
        </w:numPr>
      </w:pPr>
      <m:oMath>
        <m:r>
          <m:rPr>
            <m:sty m:val="p"/>
          </m:rPr>
          <m:t>O</m:t>
        </m:r>
        <m:sSub>
          <m:e>
            <m:r>
              <m:rPr>
                <m:sty m:val="p"/>
              </m:rPr>
              <m:t>D</m:t>
            </m:r>
          </m:e>
          <m:sub>
            <m:r>
              <m:rPr>
                <m:sty m:val="p"/>
              </m:rPr>
              <m:t>W</m:t>
            </m:r>
          </m:sub>
        </m:sSub>
        <m:r>
          <m:rPr>
            <m:sty m:val="p"/>
          </m:rPr>
          <m:t>=</m:t>
        </m:r>
        <m:r>
          <m:rPr>
            <m:sty m:val="p"/>
          </m:rPr>
          <m:t>Oven dry soil weight</m:t>
        </m:r>
      </m:oMath>
    </w:p>
    <w:p>
      <w:pPr>
        <w:pStyle w:val="Compact"/>
        <w:numPr>
          <w:numId w:val="1004"/>
          <w:ilvl w:val="0"/>
        </w:numPr>
      </w:pPr>
      <w:r>
        <w:t xml:space="preserve">Organic matter percent can then be calculated as follows:</w:t>
      </w:r>
    </w:p>
    <w:p>
      <w:pPr>
        <w:pStyle w:val="Compact"/>
        <w:numPr>
          <w:numId w:val="1006"/>
          <w:ilvl w:val="1"/>
        </w:numPr>
      </w:pPr>
      <m:oMath>
        <m:r>
          <m:rPr>
            <m:sty m:val="p"/>
          </m:rPr>
          <m:t>Organic Content (%)</m:t>
        </m:r>
        <m:r>
          <m:rPr>
            <m:sty m:val="p"/>
          </m:rPr>
          <m:t>=</m:t>
        </m:r>
        <m:r>
          <m:rPr>
            <m:sty m:val="p"/>
          </m:rPr>
          <m:t>100</m:t>
        </m:r>
        <m:r>
          <m:rPr>
            <m:sty m:val="p"/>
          </m:rPr>
          <m:t>−</m:t>
        </m:r>
        <m:r>
          <m:rPr>
            <m:sty m:val="p"/>
          </m:rPr>
          <m:t>Mineral Content (%)</m:t>
        </m:r>
      </m:oMath>
    </w:p>
    <w:p>
      <w:pPr>
        <w:pStyle w:val="Heading1"/>
      </w:pPr>
      <w:bookmarkStart w:id="29" w:name="report"/>
      <w:bookmarkEnd w:id="29"/>
      <w:r>
        <w:t xml:space="preserve">Report</w:t>
      </w:r>
    </w:p>
    <w:p>
      <w:r>
        <w:t xml:space="preserve">Report mineral content to the nearest whole percent.</w:t>
      </w:r>
    </w:p>
    <w:p>
      <w:pPr>
        <w:pStyle w:val="Heading1"/>
      </w:pPr>
      <w:bookmarkStart w:id="30" w:name="precision-and-accuracy"/>
      <w:bookmarkEnd w:id="30"/>
      <w:r>
        <w:t xml:space="preserve">Precision and Accuracy</w:t>
      </w:r>
    </w:p>
    <w:p>
      <w:r>
        <w:t xml:space="preserve">Precision and accuracy data are available from the KSSL upon request.</w:t>
      </w:r>
    </w:p>
    <w:p>
      <w:pPr>
        <w:pStyle w:val="Heading1"/>
      </w:pPr>
      <w:bookmarkStart w:id="31" w:name="references"/>
      <w:bookmarkEnd w:id="31"/>
      <w:r>
        <w:t xml:space="preserve">References</w:t>
      </w:r>
    </w:p>
    <w:p>
      <w:r>
        <w:t xml:space="preserve">Soil Survey Staff. 2014. Keys to soil taxonomy. 12</w:t>
      </w:r>
      <w:r>
        <w:t xml:space="preserve">th</w:t>
      </w:r>
      <w:r>
        <w:t xml:space="preserve"> </w:t>
      </w:r>
      <w:r>
        <w:t xml:space="preserve">ed. USDA-NRCS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a13e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7142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2d5a2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