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pPr>
        <w:pStyle w:val="Heading1"/>
      </w:pPr>
      <w:bookmarkStart w:id="22" w:name="application-and-principle"/>
      <w:bookmarkEnd w:id="22"/>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3" w:name="equipment-and-reagents"/>
      <w:bookmarkEnd w:id="23"/>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4" w:name="procedure"/>
      <w:bookmarkEnd w:id="24"/>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5" w:name="analytical-performance"/>
      <w:bookmarkEnd w:id="25"/>
      <w:r>
        <w:t xml:space="preserve">Analytical Performance</w:t>
      </w:r>
    </w:p>
    <w:p>
      <w:pPr>
        <w:pStyle w:val="Heading2"/>
      </w:pPr>
      <w:bookmarkStart w:id="26" w:name="range-and-sensitivity"/>
      <w:bookmarkEnd w:id="26"/>
      <w:r>
        <w:t xml:space="preserve">Range and Sensitivity</w:t>
      </w:r>
    </w:p>
    <w:p>
      <w:pPr>
        <w:pStyle w:val="Compact"/>
        <w:numPr>
          <w:numId w:val="1008"/>
          <w:ilvl w:val="0"/>
        </w:numPr>
      </w:pPr>
      <w:r>
        <w:t xml:space="preserve">Soil-water pH is most often within a range from 4 to 8.</w:t>
      </w:r>
    </w:p>
    <w:p>
      <w:pPr>
        <w:pStyle w:val="Heading2"/>
      </w:pPr>
      <w:bookmarkStart w:id="27" w:name="precision-and-accuracy"/>
      <w:bookmarkEnd w:id="27"/>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8" w:name="interferences"/>
      <w:bookmarkEnd w:id="28"/>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29" w:name="effects-of-storage"/>
      <w:bookmarkEnd w:id="29"/>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0" w:name="safety-and-disposal"/>
      <w:bookmarkEnd w:id="30"/>
      <w:r>
        <w:t xml:space="preserve">Safety and disposal</w:t>
      </w:r>
    </w:p>
    <w:p>
      <w:pPr>
        <w:pStyle w:val="Compact"/>
        <w:numPr>
          <w:numId w:val="1012"/>
          <w:ilvl w:val="0"/>
        </w:numPr>
      </w:pPr>
      <w:r>
        <w:t xml:space="preserve">Autoclave the soil slurry before disposal.</w:t>
      </w:r>
    </w:p>
    <w:p>
      <w:pPr>
        <w:pStyle w:val="Heading1"/>
      </w:pPr>
      <w:bookmarkStart w:id="31" w:name="references"/>
      <w:bookmarkEnd w:id="31"/>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7023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dae9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67a13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