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240" w:before="1440"/>
        <w:jc w:val="center"/>
      </w:pPr>
      <w:r>
        <w:rPr>
          <w:rFonts w:ascii="Arial" w:cs="Arial" w:eastAsia="Arial" w:hAnsi="Arial"/>
          <w:b/>
          <w:bCs/>
          <w:color w:val="1A1A2E"/>
          <w:sz w:val="72"/>
          <w:szCs w:val="72"/>
        </w:rPr>
        <w:t xml:space="preserve">BoltBerry</w:t>
      </w:r>
    </w:p>
    <w:p>
      <w:pPr>
        <w:spacing w:after="120" w:before="0"/>
        <w:jc w:val="center"/>
      </w:pPr>
      <w:r>
        <w:rPr>
          <w:rFonts w:ascii="Arial" w:cs="Arial" w:eastAsia="Arial" w:hAnsi="Arial"/>
          <w:color w:val="7F8C8D"/>
          <w:sz w:val="28"/>
          <w:szCs w:val="28"/>
        </w:rPr>
        <w:t xml:space="preserve">Virtual Tabletop — Electron Desktop App</w:t>
      </w:r>
    </w:p>
    <w:p>
      <w:pPr>
        <w:spacing w:after="480" w:before="0"/>
        <w:jc w:val="center"/>
      </w:pPr>
      <w:r>
        <w:rPr>
          <w:rFonts w:ascii="Arial" w:cs="Arial" w:eastAsia="Arial" w:hAnsi="Arial"/>
          <w:color w:val="7F8C8D"/>
          <w:sz w:val="24"/>
          <w:szCs w:val="24"/>
        </w:rPr>
        <w:t xml:space="preserve">Version 0.19.0</w:t>
      </w:r>
    </w:p>
    <w:p>
      <w:pPr>
        <w:spacing w:after="120" w:before="0"/>
        <w:jc w:val="center"/>
      </w:pPr>
      <w:r>
        <w:rPr>
          <w:rFonts w:ascii="Arial" w:cs="Arial" w:eastAsia="Arial" w:hAnsi="Arial"/>
          <w:b/>
          <w:bCs/>
          <w:color w:val="2C3E50"/>
          <w:sz w:val="48"/>
          <w:szCs w:val="48"/>
        </w:rPr>
        <w:t xml:space="preserve">GUI / UX Audit Report</w:t>
      </w:r>
    </w:p>
    <w:p>
      <w:pPr>
        <w:spacing w:after="960" w:before="0"/>
        <w:jc w:val="center"/>
      </w:pPr>
      <w:r>
        <w:rPr>
          <w:rFonts w:ascii="Arial" w:cs="Arial" w:eastAsia="Arial" w:hAnsi="Arial"/>
          <w:color w:val="7F8C8D"/>
          <w:sz w:val="22"/>
          <w:szCs w:val="22"/>
        </w:rPr>
        <w:t xml:space="preserve">Live Tested — April 15, 2026</w:t>
      </w:r>
    </w:p>
    <w:p>
      <w:pPr>
        <w:pBdr>
          <w:bottom w:val="single" w:color="BDC3C7" w:sz="4"/>
        </w:pBdr>
        <w:spacing w:after="160" w:before="160"/>
      </w:pPr>
      <w:r>
        <w:t xml:space="preserve"/>
      </w:r>
    </w:p>
    <w:p>
      <w:pPr>
        <w:spacing w:after="400" w:before="400"/>
      </w:pPr>
      <w:r>
        <w:t xml:space="preserve"/>
      </w:r>
    </w:p>
    <w:p>
      <w:pPr>
        <w:spacing w:after="120" w:before="120"/>
        <w:jc w:val="center"/>
      </w:pPr>
      <w:r>
        <w:rPr>
          <w:rFonts w:ascii="Arial" w:cs="Arial" w:eastAsia="Arial" w:hAnsi="Arial"/>
          <w:b/>
          <w:bCs/>
          <w:color w:val="2C3E50"/>
          <w:sz w:val="24"/>
          <w:szCs w:val="24"/>
        </w:rPr>
        <w:t xml:space="preserve">Overall UX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980B9" w:sz="1"/>
              <w:left w:val="single" w:color="2980B9" w:sz="1"/>
              <w:bottom w:val="single" w:color="2980B9" w:sz="1"/>
              <w:right w:val="single" w:color="2980B9"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980B9"/>
                <w:sz w:val="52"/>
                <w:szCs w:val="52"/>
              </w:rPr>
              <w:t xml:space="preserve">6.5</w:t>
            </w:r>
          </w:p>
          <w:p>
            <w:pPr>
              <w:spacing w:before="40"/>
              <w:jc w:val="center"/>
            </w:pPr>
            <w:r>
              <w:rPr>
                <w:rFonts w:ascii="Arial" w:cs="Arial" w:eastAsia="Arial" w:hAnsi="Arial"/>
                <w:color w:val="7F8C8D"/>
                <w:sz w:val="18"/>
                <w:szCs w:val="18"/>
              </w:rPr>
              <w:t xml:space="preserve">Visual Design</w:t>
            </w:r>
          </w:p>
        </w:tc>
        <w:tc>
          <w:tcPr>
            <w:tcW w:type="dxa" w:w="1872"/>
            <w:tcBorders>
              <w:top w:val="single" w:color="E67E22" w:sz="1"/>
              <w:left w:val="single" w:color="E67E22" w:sz="1"/>
              <w:bottom w:val="single" w:color="E67E22" w:sz="1"/>
              <w:right w:val="single" w:color="E67E22"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E67E22"/>
                <w:sz w:val="52"/>
                <w:szCs w:val="52"/>
              </w:rPr>
              <w:t xml:space="preserve">5.5</w:t>
            </w:r>
          </w:p>
          <w:p>
            <w:pPr>
              <w:spacing w:before="40"/>
              <w:jc w:val="center"/>
            </w:pPr>
            <w:r>
              <w:rPr>
                <w:rFonts w:ascii="Arial" w:cs="Arial" w:eastAsia="Arial" w:hAnsi="Arial"/>
                <w:color w:val="7F8C8D"/>
                <w:sz w:val="18"/>
                <w:szCs w:val="18"/>
              </w:rPr>
              <w:t xml:space="preserve">Navigation</w:t>
            </w:r>
          </w:p>
        </w:tc>
        <w:tc>
          <w:tcPr>
            <w:tcW w:type="dxa" w:w="1872"/>
            <w:tcBorders>
              <w:top w:val="single" w:color="C0392B" w:sz="1"/>
              <w:left w:val="single" w:color="C0392B" w:sz="1"/>
              <w:bottom w:val="single" w:color="C0392B" w:sz="1"/>
              <w:right w:val="single" w:color="C0392B"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C0392B"/>
                <w:sz w:val="52"/>
                <w:szCs w:val="52"/>
              </w:rPr>
              <w:t xml:space="preserve">3.5</w:t>
            </w:r>
          </w:p>
          <w:p>
            <w:pPr>
              <w:spacing w:before="40"/>
              <w:jc w:val="center"/>
            </w:pPr>
            <w:r>
              <w:rPr>
                <w:rFonts w:ascii="Arial" w:cs="Arial" w:eastAsia="Arial" w:hAnsi="Arial"/>
                <w:color w:val="7F8C8D"/>
                <w:sz w:val="18"/>
                <w:szCs w:val="18"/>
              </w:rPr>
              <w:t xml:space="preserve">Consistency</w:t>
            </w:r>
          </w:p>
        </w:tc>
        <w:tc>
          <w:tcPr>
            <w:tcW w:type="dxa" w:w="1872"/>
            <w:tcBorders>
              <w:top w:val="single" w:color="E67E22" w:sz="1"/>
              <w:left w:val="single" w:color="E67E22" w:sz="1"/>
              <w:bottom w:val="single" w:color="E67E22" w:sz="1"/>
              <w:right w:val="single" w:color="E67E22"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E67E22"/>
                <w:sz w:val="52"/>
                <w:szCs w:val="52"/>
              </w:rPr>
              <w:t xml:space="preserve">5.0</w:t>
            </w:r>
          </w:p>
          <w:p>
            <w:pPr>
              <w:spacing w:before="40"/>
              <w:jc w:val="center"/>
            </w:pPr>
            <w:r>
              <w:rPr>
                <w:rFonts w:ascii="Arial" w:cs="Arial" w:eastAsia="Arial" w:hAnsi="Arial"/>
                <w:color w:val="7F8C8D"/>
                <w:sz w:val="18"/>
                <w:szCs w:val="18"/>
              </w:rPr>
              <w:t xml:space="preserve">Workflows</w:t>
            </w:r>
          </w:p>
        </w:tc>
        <w:tc>
          <w:tcPr>
            <w:tcW w:type="dxa" w:w="1872"/>
            <w:tcBorders>
              <w:top w:val="single" w:color="C0392B" w:sz="1"/>
              <w:left w:val="single" w:color="C0392B" w:sz="1"/>
              <w:bottom w:val="single" w:color="C0392B" w:sz="1"/>
              <w:right w:val="single" w:color="C0392B"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C0392B"/>
                <w:sz w:val="52"/>
                <w:szCs w:val="52"/>
              </w:rPr>
              <w:t xml:space="preserve">5.0</w:t>
            </w:r>
          </w:p>
          <w:p>
            <w:pPr>
              <w:spacing w:before="40"/>
              <w:jc w:val="center"/>
            </w:pPr>
            <w:r>
              <w:rPr>
                <w:rFonts w:ascii="Arial" w:cs="Arial" w:eastAsia="Arial" w:hAnsi="Arial"/>
                <w:color w:val="7F8C8D"/>
                <w:sz w:val="18"/>
                <w:szCs w:val="18"/>
              </w:rPr>
              <w:t xml:space="preserve">Overall</w:t>
            </w:r>
          </w:p>
        </w:tc>
      </w:tr>
    </w:tbl>
    <w:p>
      <w:pPr>
        <w:spacing w:after="200" w:before="200"/>
      </w:pPr>
      <w:r>
        <w:t xml:space="preserve"/>
      </w:r>
    </w:p>
    <w:p>
      <w:pPr>
        <w:spacing w:after="0" w:before="120"/>
        <w:jc w:val="center"/>
      </w:pPr>
      <w:r>
        <w:rPr>
          <w:rFonts w:ascii="Arial" w:cs="Arial" w:eastAsia="Arial" w:hAnsi="Arial"/>
          <w:i/>
          <w:iCs/>
          <w:color w:val="7F8C8D"/>
          <w:sz w:val="18"/>
          <w:szCs w:val="18"/>
        </w:rPr>
        <w:t xml:space="preserve">Scale: 1–10. Scores below 6.0 indicate release-blocking concerns.</w:t>
      </w:r>
    </w:p>
    <w:p>
      <w:r>
        <w:br w:type="page"/>
      </w:r>
    </w:p>
    <w:p>
      <w:pPr>
        <w:pStyle w:val="Heading1"/>
        <w:spacing w:after="160" w:before="320"/>
      </w:pPr>
      <w:r>
        <w:rPr>
          <w:rFonts w:ascii="Arial" w:cs="Arial" w:eastAsia="Arial" w:hAnsi="Arial"/>
          <w:b/>
          <w:bCs/>
          <w:color w:val="1A1A2E"/>
          <w:sz w:val="36"/>
          <w:szCs w:val="36"/>
        </w:rPr>
        <w:t xml:space="preserve">1. Executive Summary</w:t>
      </w:r>
    </w:p>
    <w:p>
      <w:pPr>
        <w:pBdr>
          <w:bottom w:val="single" w:color="BDC3C7" w:sz="4"/>
        </w:pBdr>
        <w:spacing w:after="160" w:before="160"/>
      </w:pPr>
      <w:r>
        <w:t xml:space="preserve"/>
      </w:r>
    </w:p>
    <w:p>
      <w:pPr>
        <w:spacing w:after="100" w:before="60"/>
      </w:pPr>
      <w:r>
        <w:rPr>
          <w:rFonts w:ascii="Arial" w:cs="Arial" w:eastAsia="Arial" w:hAnsi="Arial"/>
          <w:color w:val="2C3E50"/>
          <w:sz w:val="22"/>
          <w:szCs w:val="22"/>
        </w:rPr>
        <w:t xml:space="preserve">BoltBerry is a locally-hosted Virtual Tabletop (VTT) application built on Electron and React, targeting tabletop RPG game masters who need a dual-window presentation tool. The application has a clearly conceived feature set — fog of war, initiative tracking, token management, audio mixing, handouts, and a player-facing display window — and its dark navy design language is genuinely well-suited to the genre.</w:t>
      </w:r>
    </w:p>
    <w:p>
      <w:pPr>
        <w:spacing w:after="100" w:before="100"/>
      </w:pPr>
      <w:r>
        <w:t xml:space="preserve"/>
      </w:r>
    </w:p>
    <w:p>
      <w:pPr>
        <w:spacing w:after="100" w:before="60"/>
      </w:pPr>
      <w:r>
        <w:rPr>
          <w:rFonts w:ascii="Arial" w:cs="Arial" w:eastAsia="Arial" w:hAnsi="Arial"/>
          <w:color w:val="2C3E50"/>
          <w:sz w:val="22"/>
          <w:szCs w:val="22"/>
        </w:rPr>
        <w:t xml:space="preserve">However, this audit conducted through live interactive testing of every screen, panel, and workflow reveals that BoltBerry in its current state (v0.19.0) is NOT ready for release. A production-blocking internationalization system failure exposes raw translation keys to users in the application’s primary features, and the absence of user-facing map naming breaks a core workflow. Beyond these two ship-stoppers, the toolbar is critically overloaded, the right sidebar implements a ten-tab density that discourages exploration, and the first-run experience projects no product identity.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thick" w:color="C0392B" w:sz="20"/>
              <w:bottom w:val="single" w:color="C0392B" w:sz="1"/>
              <w:right w:val="single" w:color="C0392B" w:sz="1"/>
            </w:tcBorders>
            <w:shd w:fill="FDEDEC" w:val="clear"/>
            <w:tcMar>
              <w:top w:type="dxa" w:w="120"/>
              <w:left w:type="dxa" w:w="200"/>
              <w:bottom w:type="dxa" w:w="120"/>
              <w:right w:type="dxa" w:w="120"/>
            </w:tcMar>
          </w:tcPr>
          <w:p>
            <w:r>
              <w:rPr>
                <w:rFonts w:ascii="Arial" w:cs="Arial" w:eastAsia="Arial" w:hAnsi="Arial"/>
                <w:color w:val="2C3E50"/>
                <w:sz w:val="21"/>
                <w:szCs w:val="21"/>
              </w:rPr>
              <w:t xml:space="preserve">VERDICT: Do not ship. Two P0 blockers must be resolved before any release consideration. An additional six P1 issues require fixes before public launch. Estimated remediation: 2–3 sprints for a release-ready state.</w:t>
            </w:r>
          </w:p>
        </w:tc>
      </w:tr>
    </w:tbl>
    <w:p>
      <w:pPr>
        <w:spacing w:after="300" w:before="300"/>
      </w:pPr>
      <w:r>
        <w:t xml:space="preserve"/>
      </w:r>
    </w:p>
    <w:p>
      <w:pPr>
        <w:pStyle w:val="Heading2"/>
        <w:spacing w:after="120" w:before="240"/>
      </w:pPr>
      <w:r>
        <w:rPr>
          <w:rFonts w:ascii="Arial" w:cs="Arial" w:eastAsia="Arial" w:hAnsi="Arial"/>
          <w:b/>
          <w:bCs/>
          <w:color w:val="2C3E50"/>
          <w:sz w:val="26"/>
          <w:szCs w:val="2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i18n system failure: 12+ raw translation keys visible to users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Audio panel and Settings panels are functionally unlabeled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Audio, Settings (2 locations)</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Map naming absent: internal UUIDs used as sole map identifier</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Maps cannot be identified or managed by users</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Left sidebar, Session modal</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Toolbar information overload: 30+ elements, zero visual grouping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High cognitive load on primary work surface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AppLayout toolbar</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Right sidebar 10-tab layout: 2x5 cramped grid</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Panel discoverability and switching is error-prone</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AppLayout right sidebar</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SetupWizard has zero product branding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Poor first-run impression; bare OS dialog feel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SetupWizard screen</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Handout creation: image-pick and save conflated in one action</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Text-only handouts appear impossible; cancel is hidden</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Handouts tab</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"FOG OF WAR" section label is English in an otherwise German UI</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Localization inconsistency in shipped shortcut overlay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Shortcut overlay</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"Kampf" work mode uses × icon indistinguishable from a close button</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Users may hesitate thinking they are dismissing a view</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Toolbar work modes</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Session start modal displays raw UUID as map name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Users cannot confirm correct map at the critical go-live moment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Session start modal</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Campaign list actions undiscoverable (double-click rename, emoji buttons)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New users cannot find rename/duplicate/delete</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StartScreen</w:t>
            </w:r>
          </w:p>
        </w:tc>
      </w:tr>
    </w:tbl>
    <w:p>
      <w:r>
        <w:br w:type="page"/>
      </w:r>
    </w:p>
    <w:p>
      <w:pPr>
        <w:pStyle w:val="Heading1"/>
        <w:spacing w:after="160" w:before="320"/>
      </w:pPr>
      <w:r>
        <w:rPr>
          <w:rFonts w:ascii="Arial" w:cs="Arial" w:eastAsia="Arial" w:hAnsi="Arial"/>
          <w:b/>
          <w:bCs/>
          <w:color w:val="1A1A2E"/>
          <w:sz w:val="36"/>
          <w:szCs w:val="36"/>
        </w:rPr>
        <w:t xml:space="preserve">2. First Impression Review</w:t>
      </w:r>
    </w:p>
    <w:p>
      <w:pPr>
        <w:pBdr>
          <w:bottom w:val="single" w:color="BDC3C7" w:sz="4"/>
        </w:pBdr>
        <w:spacing w:after="160" w:before="160"/>
      </w:pPr>
      <w:r>
        <w:t xml:space="preserve"/>
      </w:r>
    </w:p>
    <w:p>
      <w:pPr>
        <w:pStyle w:val="Heading2"/>
        <w:spacing w:after="120" w:before="240"/>
      </w:pPr>
      <w:r>
        <w:rPr>
          <w:rFonts w:ascii="Arial" w:cs="Arial" w:eastAsia="Arial" w:hAnsi="Arial"/>
          <w:b/>
          <w:bCs/>
          <w:color w:val="2C3E50"/>
          <w:sz w:val="26"/>
          <w:szCs w:val="26"/>
        </w:rPr>
        <w:t xml:space="preserve">2.1 Application Launch</w:t>
      </w:r>
    </w:p>
    <w:p>
      <w:pPr>
        <w:spacing w:after="100" w:before="60"/>
      </w:pPr>
      <w:r>
        <w:rPr>
          <w:rFonts w:ascii="Arial" w:cs="Arial" w:eastAsia="Arial" w:hAnsi="Arial"/>
          <w:color w:val="2C3E50"/>
          <w:sz w:val="22"/>
          <w:szCs w:val="22"/>
        </w:rPr>
        <w:t xml:space="preserve">Upon launching BoltBerry for the first time, users encounter the SetupWizard. This screen commits three significant first-impression errors:</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No product identity. There is no BoltBerry logo, no application name, and no welcome copy. The wizard appears as a bare panel containing a folder-picker input, indistinguishable from a generic Electron boilerplate.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No onboarding context. Users are asked to select a data folder with no explanation of what that folder is used for, why it must be created, or what it will contain.</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Single-step completion. The wizard ends immediately after folder selection — no confirmation, no next steps, no orientation to the application’s feature set.</w:t>
      </w:r>
    </w:p>
    <w:p>
      <w:pPr>
        <w:spacing w:after="100" w:before="100"/>
      </w:pPr>
      <w:r>
        <w:t xml:space="preserve"/>
      </w:r>
    </w:p>
    <w:p>
      <w:pPr>
        <w:spacing w:after="100" w:before="60"/>
      </w:pPr>
      <w:r>
        <w:rPr>
          <w:rFonts w:ascii="Arial" w:cs="Arial" w:eastAsia="Arial" w:hAnsi="Arial"/>
          <w:color w:val="2C3E50"/>
          <w:sz w:val="22"/>
          <w:szCs w:val="22"/>
        </w:rPr>
        <w:t xml:space="preserve">The contrast with the application’s actual design language (dark navy, bolt-yellow accents, distinctive BoltBerry logo) is jarring. The branding capability clearly exists; it is simply absent from the most impactful screen in the product.</w:t>
      </w:r>
    </w:p>
    <w:p>
      <w:pPr>
        <w:spacing w:after="100" w:before="100"/>
      </w:pPr>
      <w:r>
        <w:t xml:space="preserve"/>
      </w:r>
    </w:p>
    <w:p>
      <w:pPr>
        <w:pStyle w:val="Heading2"/>
        <w:spacing w:after="120" w:before="240"/>
      </w:pPr>
      <w:r>
        <w:rPr>
          <w:rFonts w:ascii="Arial" w:cs="Arial" w:eastAsia="Arial" w:hAnsi="Arial"/>
          <w:b/>
          <w:bCs/>
          <w:color w:val="2C3E50"/>
          <w:sz w:val="26"/>
          <w:szCs w:val="26"/>
        </w:rPr>
        <w:t xml:space="preserve">2.2 Start Screen (Campaign List)</w:t>
      </w:r>
    </w:p>
    <w:p>
      <w:pPr>
        <w:spacing w:after="100" w:before="60"/>
      </w:pPr>
      <w:r>
        <w:rPr>
          <w:rFonts w:ascii="Arial" w:cs="Arial" w:eastAsia="Arial" w:hAnsi="Arial"/>
          <w:color w:val="2C3E50"/>
          <w:sz w:val="22"/>
          <w:szCs w:val="22"/>
        </w:rPr>
        <w:t xml:space="preserve">The StartScreen presents a clean campaign list with a fixed-width 480px card. First impressions are reasonable: the dark surface feels genre-appropriate, and the “Neue Kampagne” (New Campaign) entry point is prominent. However, several discoverability failures emerge within 30 seconds of interaction:</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Rename is locked behind double-click on the campaign name. No affordance suggests this. Users expecting an edit icon will not find one.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The three action buttons — ✏️ (edit/rename), 📋 (duplicate), 🗑 (delete) — are emoji icons with no labels and no tooltips. The ✏️ emoji in particular is commonly associated with a pencil/write action, but in this context the only text edit available is double-click rename. This creates ambiguity about what tapping it does.</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There is no campaign creation modal or dedicated flow. Typing into the inline input and pressing Enter creates a campaign with no feedback animation. First-time users may not realize creation succeeded.</w:t>
      </w:r>
    </w:p>
    <w:p>
      <w:pPr>
        <w:spacing w:after="100" w:before="100"/>
      </w:pPr>
      <w:r>
        <w:t xml:space="preserve"/>
      </w:r>
    </w:p>
    <w:p>
      <w:pPr>
        <w:pStyle w:val="Heading2"/>
        <w:spacing w:after="120" w:before="240"/>
      </w:pPr>
      <w:r>
        <w:rPr>
          <w:rFonts w:ascii="Arial" w:cs="Arial" w:eastAsia="Arial" w:hAnsi="Arial"/>
          <w:b/>
          <w:bCs/>
          <w:color w:val="2C3E50"/>
          <w:sz w:val="26"/>
          <w:szCs w:val="26"/>
        </w:rPr>
        <w:t xml:space="preserve">2.3 CampaignView First Look</w:t>
      </w:r>
    </w:p>
    <w:p>
      <w:pPr>
        <w:spacing w:after="100" w:before="60"/>
      </w:pPr>
      <w:r>
        <w:rPr>
          <w:rFonts w:ascii="Arial" w:cs="Arial" w:eastAsia="Arial" w:hAnsi="Arial"/>
          <w:color w:val="2C3E50"/>
          <w:sz w:val="22"/>
          <w:szCs w:val="22"/>
        </w:rPr>
        <w:t xml:space="preserve">After entering a campaign, the five-tab layout (Notizen, Charaktere, Handouts, Audio, Einstellungen) provides reasonable orientation. The tab labels are German, correctly localized, and the icons are clear. This is the most polished screen in the pre-map flow.</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The “▶ Spielansicht” CTA button (upper right) is only visible once a map is loaded. Before importing a map, this button is absent, giving no hint that a player window feature exists.</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The “◁ Kampagnen” breadcrumb back link is easy to miss — it sits at the same visual weight as the campaign title.</w:t>
      </w:r>
    </w:p>
    <w:p>
      <w:r>
        <w:br w:type="page"/>
      </w:r>
    </w:p>
    <w:p>
      <w:pPr>
        <w:pStyle w:val="Heading1"/>
        <w:spacing w:after="160" w:before="320"/>
      </w:pPr>
      <w:r>
        <w:rPr>
          <w:rFonts w:ascii="Arial" w:cs="Arial" w:eastAsia="Arial" w:hAnsi="Arial"/>
          <w:b/>
          <w:bCs/>
          <w:color w:val="1A1A2E"/>
          <w:sz w:val="36"/>
          <w:szCs w:val="36"/>
        </w:rPr>
        <w:t xml:space="preserve">3. Detailed GUI Audit</w:t>
      </w:r>
    </w:p>
    <w:p>
      <w:pPr>
        <w:pBdr>
          <w:bottom w:val="single" w:color="BDC3C7" w:sz="4"/>
        </w:pBdr>
        <w:spacing w:after="160" w:before="160"/>
      </w:pPr>
      <w:r>
        <w:t xml:space="preserve"/>
      </w:r>
    </w:p>
    <w:p>
      <w:pPr>
        <w:pStyle w:val="Heading2"/>
        <w:spacing w:after="120" w:before="240"/>
      </w:pPr>
      <w:r>
        <w:rPr>
          <w:rFonts w:ascii="Arial" w:cs="Arial" w:eastAsia="Arial" w:hAnsi="Arial"/>
          <w:b/>
          <w:bCs/>
          <w:color w:val="2C3E50"/>
          <w:sz w:val="26"/>
          <w:szCs w:val="26"/>
        </w:rPr>
        <w:t xml:space="preserve">3.1 SetupWizard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No logo, name, or branding of any kind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Product identity failure on first run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SetupWizard</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No explanation of what the data folder is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Users choose an arbitrary folder without understanding consequences</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SetupWizard</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No visual separator between the wizard pane and background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Wizard blends into the app shell with no modal chrome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SetupWizard</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3.2 StartScreen (Campaign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Double-click to rename: zero affordance or discoverability</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Users cannot rename campaigns without trial-and-error discovery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Campaign list items</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Emoji-only action buttons with no labels or tooltips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Rename/duplicate/delete actions are opaque; ✏️ vs. rename ambiguous</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Campaign card row</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No creation feedback after pressing Enter for new campaign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Users unsure whether campaign was created successfully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Inline create input</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Fixed 480px campaign card width does not adapt to window resize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On narrow windows, card is clipped; on wide monitors, large empty space appears</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StartScreen layout</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3.3 CampaignView — Notizen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Plain textarea with no rich text formatting options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GM notes cannot include headers, bold, links, or tables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Notizen tab</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No auto-save confirmation visible in the notes tab itself</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Users must look at the status bar for save state feedback</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Notizen tab</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3.4 CampaignView — Charaktere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"AC" column always displays "——" for imported characters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Column exists but is non-functional; misleads user about data completeness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Character list</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Character list has no empty state illustration or guidance when no characters added</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Empty state is a bare blank area with no call to action</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Charaktere tab</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3.5 CampaignView — Handouts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"Bild wählen &amp; speichern" conflates file selection and save into one button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Text-only handouts appear impossible; save cannot be triggered without selecting an image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Handout creation form</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Cancel (×) button is appended to the right edge of the large yellow CTA</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Cancel is nearly invisible; users expecting "Abbrechen" text link will not find it</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Handout creation form</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Inline form appears without a containing card surface or border</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Form floats against the dark canvas with no visual separation from the list below</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Handouts tab</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"0 HANDOUTS" count is all-caps micro-text with no visual hierarchy</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The counter communicates state but fails as a section header</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Handouts tab header</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3.6 CampaignView — Audio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AUDIO.TABMUSIC, AUDIO.TRACK1, AUDIO.TRACK2, AUDIO.COMBAT rendered as raw i18n keys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All audio channel labels are unintelligible to users; panel is functionally unlabeled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Audio tab left panel</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audio.startCombat, AUDIO.TABSFX, audio.addBoard, audio.noBoards, audio.sfxHint rendered raw</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The combat toggle button and entire SFX panel are unlabeled</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Audio tab both panels</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No file-loaded state in seek bar — bar appears as a placeholder with no file name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Users cannot confirm which audio file is loaded in each channel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Audio channel strips</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"audio.startCombat" button has × prefix icon suggesting dismissal rather than toggle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The × on a toggle button is contextually confusing</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Combat toggle button</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3.7 CampaignView — Einstellungen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"SETTINGS.TITLE" rendered as raw i18n key as the section header</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Settings panel has an unintelligible section title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Einstellungen tab</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Data folder path input appears highlighted/selected in blue when idle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Misleading affordance: looks editable/active when it is read-only</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Data folder row</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"Schnell-Backup" highlighted in accent yellow; "Kampagne importieren" and "Kampagne exportieren" are not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Unexplained color distinction implies urgency or primacy that has no rationale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Backup action row</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Settings content is duplicated in both this tab and the left sidebar settings panel in AppLayout</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Two sources of truth for the same settings is confusing and risks divergence</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Einstellungen &amp; left sidebar</w:t>
            </w:r>
          </w:p>
        </w:tc>
      </w:tr>
    </w:tbl>
    <w:p>
      <w:r>
        <w:br w:type="page"/>
      </w:r>
    </w:p>
    <w:p>
      <w:pPr>
        <w:pStyle w:val="Heading2"/>
        <w:spacing w:after="120" w:before="240"/>
      </w:pPr>
      <w:r>
        <w:rPr>
          <w:rFonts w:ascii="Arial" w:cs="Arial" w:eastAsia="Arial" w:hAnsi="Arial"/>
          <w:b/>
          <w:bCs/>
          <w:color w:val="2C3E50"/>
          <w:sz w:val="26"/>
          <w:szCs w:val="26"/>
        </w:rPr>
        <w:t xml:space="preserve">3.8 AppLayout — Toolbar</w:t>
      </w:r>
    </w:p>
    <w:p>
      <w:pPr>
        <w:spacing w:after="100" w:before="60"/>
      </w:pPr>
      <w:r>
        <w:rPr>
          <w:rFonts w:ascii="Arial" w:cs="Arial" w:eastAsia="Arial" w:hAnsi="Arial"/>
          <w:color w:val="2C3E50"/>
          <w:sz w:val="22"/>
          <w:szCs w:val="22"/>
        </w:rPr>
        <w:t xml:space="preserve">The toolbar is the highest-frequency interaction surface in BoltBerry. It is used continuously during a session and must be both scannable and error-resistant. The current implementation is critically overloaded.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30+ interactive elements in a single uninterrupted horizontal row</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No visual grouping makes it impossible to scan; elements blur together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Full toolbar</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"4 T..." leftmost counter is truncated to illegibility</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Unknown count of unknown entities displayed without tooltip or context</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Toolbar far left</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Work mode × icon on "Kampf" is indistinguishable from a close/dismiss button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Users unfamiliar with the ×-sword convention will hesitate or avoid the mode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Work mode pills</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Fog mode toolbar completely replaces the standard toolbar without transition hint</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The tool set change is abrupt and disorienting; no animation or indicator</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Fog mode tools</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Zoom buttons are ⊕ 100% ⊖ — the "+" is part of a zoom-in icon but reads as an add action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Minor: zoom affordance could be clearer with a magnifier icon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Zoom controls</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VORBEREITUNG pill is centred in the toolbar between unrelated tool groups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The session mode toggle interrupts tool scanning flow</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Session mode toggle</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3.9 AppLayout — 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Third sidebar tab labelled "settings.title" — raw i18n key</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Tab label is a code string, not a human-readable word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Left sidebar tab strip</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Map list displays internal UUID as the map name ("17762416753...")</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Maps are unrecognizable in a multi-map campaign; no rename affordance exists</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Karten tab map list</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"RASTER —" section header followed by a raw GUID on the next line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The grid configuration section exposes an internal identifier to users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Grid settings panel</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Data folder path wraps across two lines in the narrow (240px) settings panel</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Long paths become unreadable in the constrained sidebar width</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Settings panel</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3.10 AppLayout — Right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10 tabs in a 2x5 grid layout; second row has very small icons and truncated labels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Tab targets are small and hard to hit; labels "Chars", "Würfel" are ambiguous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Right sidebar tab grid</w:t>
            </w:r>
          </w:p>
        </w:tc>
      </w:tr>
      <w:tr>
        <w:tc>
          <w:tcPr>
            <w:tcW w:type="dxa" w:w="560"/>
            <w:tcBorders>
              <w:top w:val="single" w:color="C0392B" w:sz="1"/>
              <w:left w:val="single" w:color="C0392B" w:sz="1"/>
              <w:bottom w:val="single" w:color="C0392B" w:sz="1"/>
              <w:right w:val="single" w:color="C0392B" w:sz="1"/>
            </w:tcBorders>
            <w:shd w:fill="FDEDEC" w:val="clear"/>
            <w:tcMar>
              <w:top w:type="dxa" w:w="80"/>
              <w:left w:type="dxa" w:w="120"/>
              <w:bottom w:type="dxa" w:w="80"/>
              <w:right w:type="dxa" w:w="120"/>
            </w:tcMar>
            <w:vAlign w:val="top"/>
          </w:tcPr>
          <w:p>
            <w:r>
              <w:rPr>
                <w:rFonts w:ascii="Arial" w:cs="Arial" w:eastAsia="Arial" w:hAnsi="Arial"/>
                <w:b/>
                <w:bCs/>
                <w:color w:val="C0392B"/>
                <w:sz w:val="20"/>
                <w:szCs w:val="20"/>
              </w:rPr>
              <w:t xml:space="preserve">P0</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Audio sub-tabs in right sidebar show "audio.tabMusic" and "audio.tabSfx" as raw keys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Right sidebar audio panel is identical to the CampaignView bug — same root cause</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Right sidebar Audio panel</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Overlay panel: Position buttons ("Oben"/"Mitte"/"Unten") highlighted blue while Style buttons highlighted yellow</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Inconsistent active-state color for the same interaction pattern within one panel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Overlay panel</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Weather effect icons in Overlay panel have no labels or tooltips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Five weather states identified by icon only; requires learned knowledge</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Overlay panel weather row</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3.11 Shortcut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74C3C" w:sz="1"/>
              <w:left w:val="single" w:color="E74C3C" w:sz="1"/>
              <w:bottom w:val="single" w:color="E74C3C" w:sz="1"/>
              <w:right w:val="single" w:color="E74C3C" w:sz="1"/>
            </w:tcBorders>
            <w:shd w:fill="FEE2E2" w:val="clear"/>
            <w:tcMar>
              <w:top w:type="dxa" w:w="80"/>
              <w:left w:type="dxa" w:w="120"/>
              <w:bottom w:type="dxa" w:w="80"/>
              <w:right w:type="dxa" w:w="120"/>
            </w:tcMar>
            <w:vAlign w:val="top"/>
          </w:tcPr>
          <w:p>
            <w:r>
              <w:rPr>
                <w:rFonts w:ascii="Arial" w:cs="Arial" w:eastAsia="Arial" w:hAnsi="Arial"/>
                <w:b/>
                <w:bCs/>
                <w:color w:val="E74C3C"/>
                <w:sz w:val="20"/>
                <w:szCs w:val="20"/>
              </w:rPr>
              <w:t xml:space="preserve">P1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"FOG OF WAR" section header is English; all other section headers are German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Localization inconsistency in a user-facing reference panel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Shortcut overlay</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Overlay title says "Tastenkürzel" but the hint at the bottom refers to both ? and F1</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Minor: the bottom hint text is redundant with the section header</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Shortcut overlay footer</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3.12 Session Start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Map name shown as raw UUID: "Karte: 1776241675349_ykxpp4giu0p"</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Users cannot confirm the correct map is loaded at the critical go-live moment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Session start checklist</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"Jetzt live gehen" CTA is active even when player window is not open and no tokens are visible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Users can go live into a broken session without any blocking prompt</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Session start modal</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"Spielerfenster nicht geöffnet" shows a spinner icon alongside the "Öffnen" button with no state label</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The spinner connotes loading/processing, but the player window is simply not yet opened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Session start checklist row 1</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3.13 Status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200"/>
        <w:gridCol w:w="1400"/>
      </w:tblGrid>
      <w:tr>
        <w:tc>
          <w:tcPr>
            <w:tcW w:type="dxa" w:w="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4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vAlign w:val="top"/>
          </w:tcPr>
          <w:p>
            <w:r>
              <w:rPr>
                <w:rFonts w:ascii="Arial" w:cs="Arial" w:eastAsia="Arial" w:hAnsi="Arial"/>
                <w:b/>
                <w:bCs/>
                <w:color w:val="E67E22"/>
                <w:sz w:val="20"/>
                <w:szCs w:val="20"/>
              </w:rPr>
              <w:t xml:space="preserve">P2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"Vorbereitungsmodus – Spieler-Sync gesperrt" is a 40-character string in a 26px bar</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Warning is easy to miss; no color emphasis on the warning text itself</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Status bar left area</w:t>
            </w:r>
          </w:p>
        </w:tc>
      </w:tr>
      <w:tr>
        <w:tc>
          <w:tcPr>
            <w:tcW w:type="dxa" w:w="560"/>
            <w:tcBorders>
              <w:top w:val="single" w:color="F39C12" w:sz="1"/>
              <w:left w:val="single" w:color="F39C12" w:sz="1"/>
              <w:bottom w:val="single" w:color="F39C12" w:sz="1"/>
              <w:right w:val="single" w:color="F39C12" w:sz="1"/>
            </w:tcBorders>
            <w:shd w:fill="FEFCE8" w:val="clear"/>
            <w:tcMar>
              <w:top w:type="dxa" w:w="80"/>
              <w:left w:type="dxa" w:w="120"/>
              <w:bottom w:type="dxa" w:w="80"/>
              <w:right w:type="dxa" w:w="120"/>
            </w:tcMar>
            <w:vAlign w:val="top"/>
          </w:tcPr>
          <w:p>
            <w:r>
              <w:rPr>
                <w:rFonts w:ascii="Arial" w:cs="Arial" w:eastAsia="Arial" w:hAnsi="Arial"/>
                <w:b/>
                <w:bCs/>
                <w:color w:val="F39C12"/>
                <w:sz w:val="20"/>
                <w:szCs w:val="20"/>
              </w:rPr>
              <w:t xml:space="preserve">P3</w:t>
            </w:r>
          </w:p>
        </w:tc>
        <w:tc>
          <w:tcPr>
            <w:tcW w:type="dxa" w:w="4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Red dot for "Kein Spieler-Monitor" and yellow lightning for prep mode warning use different visual languages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Minor inconsistency in status bar icon system</w:t>
            </w:r>
          </w:p>
        </w:tc>
        <w:tc>
          <w:tcPr>
            <w:tcW w:type="dxa" w:w="1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top"/>
          </w:tcPr>
          <w:p>
            <w:r>
              <w:rPr>
                <w:rFonts w:ascii="Arial" w:cs="Arial" w:eastAsia="Arial" w:hAnsi="Arial"/>
                <w:color w:val="2C3E50"/>
                <w:sz w:val="20"/>
                <w:szCs w:val="20"/>
              </w:rPr>
              <w:t xml:space="preserve">Status bar left icons</w:t>
            </w:r>
          </w:p>
        </w:tc>
      </w:tr>
    </w:tbl>
    <w:p>
      <w:r>
        <w:br w:type="page"/>
      </w:r>
    </w:p>
    <w:p>
      <w:pPr>
        <w:pStyle w:val="Heading1"/>
        <w:spacing w:after="160" w:before="320"/>
      </w:pPr>
      <w:r>
        <w:rPr>
          <w:rFonts w:ascii="Arial" w:cs="Arial" w:eastAsia="Arial" w:hAnsi="Arial"/>
          <w:b/>
          <w:bCs/>
          <w:color w:val="1A1A2E"/>
          <w:sz w:val="36"/>
          <w:szCs w:val="36"/>
        </w:rPr>
        <w:t xml:space="preserve">4. Workflow-Based Review</w:t>
      </w:r>
    </w:p>
    <w:p>
      <w:pPr>
        <w:pBdr>
          <w:bottom w:val="single" w:color="BDC3C7" w:sz="4"/>
        </w:pBdr>
        <w:spacing w:after="160" w:before="160"/>
      </w:pPr>
      <w:r>
        <w:t xml:space="preserve"/>
      </w:r>
    </w:p>
    <w:p>
      <w:pPr>
        <w:spacing w:after="100" w:before="60"/>
      </w:pPr>
      <w:r>
        <w:rPr>
          <w:rFonts w:ascii="Arial" w:cs="Arial" w:eastAsia="Arial" w:hAnsi="Arial"/>
          <w:color w:val="2C3E50"/>
          <w:sz w:val="22"/>
          <w:szCs w:val="22"/>
        </w:rPr>
        <w:t xml:space="preserve">This section evaluates the end-to-end session preparation and live play workflow as a game master would experience it.</w:t>
      </w:r>
    </w:p>
    <w:p>
      <w:pPr>
        <w:spacing w:after="100" w:before="100"/>
      </w:pPr>
      <w:r>
        <w:t xml:space="preserve"/>
      </w:r>
    </w:p>
    <w:p>
      <w:pPr>
        <w:pStyle w:val="Heading2"/>
        <w:spacing w:after="120" w:before="240"/>
      </w:pPr>
      <w:r>
        <w:rPr>
          <w:rFonts w:ascii="Arial" w:cs="Arial" w:eastAsia="Arial" w:hAnsi="Arial"/>
          <w:b/>
          <w:bCs/>
          <w:color w:val="2C3E50"/>
          <w:sz w:val="26"/>
          <w:szCs w:val="26"/>
        </w:rPr>
        <w:t xml:space="preserve">4.1 First-Run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WORKS</w:t>
            </w:r>
          </w:p>
          <w:p>
            <w:r>
              <w:rPr>
                <w:rFonts w:ascii="Arial" w:cs="Arial" w:eastAsia="Arial" w:hAnsi="Arial"/>
                <w:color w:val="2C3E50"/>
                <w:sz w:val="20"/>
                <w:szCs w:val="20"/>
              </w:rPr>
              <w:t xml:space="preserve">Folder selection functions correctly. App saves and restores the setting across restarts.</w:t>
            </w:r>
          </w:p>
        </w:tc>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FAILS</w:t>
            </w:r>
          </w:p>
          <w:p>
            <w:r>
              <w:rPr>
                <w:rFonts w:ascii="Arial" w:cs="Arial" w:eastAsia="Arial" w:hAnsi="Arial"/>
                <w:color w:val="2C3E50"/>
                <w:sz w:val="20"/>
                <w:szCs w:val="20"/>
              </w:rPr>
              <w:t xml:space="preserve">Zero product branding. No explanation of the folder’s purpose. No orientation to features. First-time user arrives at a campaign list with no guidance.</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4.2 Campaign Creation &amp; Preparation</w:t>
      </w:r>
    </w:p>
    <w:p>
      <w:pPr>
        <w:spacing w:after="100" w:before="60"/>
      </w:pPr>
      <w:r>
        <w:rPr>
          <w:rFonts w:ascii="Arial" w:cs="Arial" w:eastAsia="Arial" w:hAnsi="Arial"/>
          <w:color w:val="2C3E50"/>
          <w:sz w:val="22"/>
          <w:szCs w:val="22"/>
        </w:rPr>
        <w:t xml:space="preserve">Friction points encountered during campaign setup:</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User creates campaign — inline input with Enter to confirm is fine, but the UX is minimal (no visual confirmation animation, no toast/notification).</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User opens CampaignView — the five-tab layout is well-structured. Notes, Characters, and Handouts are functional (with the handout creation issues noted above).</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User visits Audio tab — CRITICAL FAILURE. All audio channel labels, section headers, and the SFX panel display raw i18n keys. The audio prep workflow is completely broken from a UI perspective.</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User visits Einstellungen tab — another i18n failure. The main section title shows "SETTINGS.TITLE" as a raw key.</w:t>
      </w:r>
    </w:p>
    <w:p>
      <w:pPr>
        <w:spacing w:after="100" w:before="100"/>
      </w:pPr>
      <w:r>
        <w:t xml:space="preserve"/>
      </w:r>
    </w:p>
    <w:p>
      <w:pPr>
        <w:pStyle w:val="Heading2"/>
        <w:spacing w:after="120" w:before="240"/>
      </w:pPr>
      <w:r>
        <w:rPr>
          <w:rFonts w:ascii="Arial" w:cs="Arial" w:eastAsia="Arial" w:hAnsi="Arial"/>
          <w:b/>
          <w:bCs/>
          <w:color w:val="2C3E50"/>
          <w:sz w:val="26"/>
          <w:szCs w:val="26"/>
        </w:rPr>
        <w:t xml:space="preserve">4.3 Map Import</w:t>
      </w:r>
    </w:p>
    <w:p>
      <w:pPr>
        <w:spacing w:after="100" w:before="60"/>
      </w:pPr>
      <w:r>
        <w:rPr>
          <w:rFonts w:ascii="Arial" w:cs="Arial" w:eastAsia="Arial" w:hAnsi="Arial"/>
          <w:color w:val="2C3E50"/>
          <w:sz w:val="22"/>
          <w:szCs w:val="22"/>
        </w:rPr>
        <w:t xml:space="preserve">The map import flow has a significant gap:</w:t>
      </w:r>
    </w:p>
    <w:p>
      <w:pPr>
        <w:pStyle w:val="ListParagraph"/>
        <w:numPr>
          <w:ilvl w:val="0"/>
          <w:numId w:val="2"/>
        </w:numPr>
        <w:spacing w:after="60" w:before="40"/>
        <w:ind w:left="720" w:hanging="360"/>
      </w:pPr>
      <w:r>
        <w:rPr>
          <w:rFonts w:ascii="Arial" w:cs="Arial" w:eastAsia="Arial" w:hAnsi="Arial"/>
          <w:b/>
          <w:bCs/>
          <w:color w:val="2C3E50"/>
          <w:sz w:val="22"/>
          <w:szCs w:val="22"/>
        </w:rPr>
        <w:t xml:space="preserve">User clicks "+ Karte importieren" — OS file picker opens immediately, which is efficient.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File is selected and imported. The map loads into the canvas with no loading indicator and no naming step. The map is assigned only a UUID as its internal filename.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The map appears in the left sidebar with its UUID truncated to "17762416753..." with no way to rename it. In a campaign with multiple maps, distinguishing between them becomes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thick" w:color="C0392B" w:sz="20"/>
              <w:bottom w:val="single" w:color="C0392B" w:sz="1"/>
              <w:right w:val="single" w:color="C0392B" w:sz="1"/>
            </w:tcBorders>
            <w:shd w:fill="FDEDEC" w:val="clear"/>
            <w:tcMar>
              <w:top w:type="dxa" w:w="120"/>
              <w:left w:type="dxa" w:w="200"/>
              <w:bottom w:type="dxa" w:w="120"/>
              <w:right w:type="dxa" w:w="120"/>
            </w:tcMar>
          </w:tcPr>
          <w:p>
            <w:r>
              <w:rPr>
                <w:rFonts w:ascii="Arial" w:cs="Arial" w:eastAsia="Arial" w:hAnsi="Arial"/>
                <w:color w:val="2C3E50"/>
                <w:sz w:val="21"/>
                <w:szCs w:val="21"/>
              </w:rPr>
              <w:t xml:space="preserve">Critical gap: BoltBerry does not provide a map naming mechanism anywhere in the import flow or map management UI. This is a fundamental usability failure for any campaign with more than one map.</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4.4 Session Launch (VORBEREITUNG → LIVE)</w:t>
      </w:r>
    </w:p>
    <w:p>
      <w:pPr>
        <w:spacing w:after="100" w:before="60"/>
      </w:pPr>
      <w:r>
        <w:rPr>
          <w:rFonts w:ascii="Arial" w:cs="Arial" w:eastAsia="Arial" w:hAnsi="Arial"/>
          <w:color w:val="2C3E50"/>
          <w:sz w:val="22"/>
          <w:szCs w:val="22"/>
        </w:rPr>
        <w:t xml:space="preserve">The session start modal is one of the better-designed elements in the application. The pre-flight checklist pattern is correct and the three-item list gives users confidence before going live. However, two issues undermine it: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The map name in the checklist is the raw UUID ("Karte: 1776241675349_ykxpp4giu0p"), not a human name. Users with multiple maps cannot verify they’ve loaded the correct one.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"Jetzt live gehen" is not blocked when the player window is not open or no tokens are visible. These should at minimum produce a confirmation dialog, not silently allow proceeding.</w:t>
      </w:r>
    </w:p>
    <w:p>
      <w:pPr>
        <w:spacing w:after="100" w:before="100"/>
      </w:pPr>
      <w:r>
        <w:t xml:space="preserve"/>
      </w:r>
    </w:p>
    <w:p>
      <w:pPr>
        <w:pStyle w:val="Heading2"/>
        <w:spacing w:after="120" w:before="240"/>
      </w:pPr>
      <w:r>
        <w:rPr>
          <w:rFonts w:ascii="Arial" w:cs="Arial" w:eastAsia="Arial" w:hAnsi="Arial"/>
          <w:b/>
          <w:bCs/>
          <w:color w:val="2C3E50"/>
          <w:sz w:val="26"/>
          <w:szCs w:val="26"/>
        </w:rPr>
        <w:t xml:space="preserve">4.5 In-Session Map Usage</w:t>
      </w:r>
    </w:p>
    <w:p>
      <w:pPr>
        <w:spacing w:after="100" w:before="60"/>
      </w:pPr>
      <w:r>
        <w:rPr>
          <w:rFonts w:ascii="Arial" w:cs="Arial" w:eastAsia="Arial" w:hAnsi="Arial"/>
          <w:color w:val="2C3E50"/>
          <w:sz w:val="22"/>
          <w:szCs w:val="22"/>
        </w:rPr>
        <w:t xml:space="preserve">The canvas view is functional and the core map navigation works. Zoom via toolbar +/− buttons responds correctly. The right-click context menu (2 items: "Kamera zentrieren", "GM-Pin setzen") is minimal but not broken. The fog of war mode correctly changes the toolbar to fog-specific tools — a good contextual design decision.</w:t>
      </w:r>
    </w:p>
    <w:p>
      <w:pPr>
        <w:spacing w:after="100" w:before="60"/>
      </w:pPr>
      <w:r>
        <w:rPr>
          <w:rFonts w:ascii="Arial" w:cs="Arial" w:eastAsia="Arial" w:hAnsi="Arial"/>
          <w:color w:val="2C3E50"/>
          <w:sz w:val="22"/>
          <w:szCs w:val="22"/>
        </w:rPr>
        <w:t xml:space="preserve">The main usability pain during live play is the right sidebar’s 10-tab density. Switching between Tokens, Initiative, Räume, Overlay, and other panels during a live session requires precise clicking on small targets in the second tab row. Under the time pressure of a live game, this is a real source of user error.</w:t>
      </w:r>
    </w:p>
    <w:p>
      <w:r>
        <w:br w:type="page"/>
      </w:r>
    </w:p>
    <w:p>
      <w:pPr>
        <w:pStyle w:val="Heading1"/>
        <w:spacing w:after="160" w:before="320"/>
      </w:pPr>
      <w:r>
        <w:rPr>
          <w:rFonts w:ascii="Arial" w:cs="Arial" w:eastAsia="Arial" w:hAnsi="Arial"/>
          <w:b/>
          <w:bCs/>
          <w:color w:val="1A1A2E"/>
          <w:sz w:val="36"/>
          <w:szCs w:val="36"/>
        </w:rPr>
        <w:t xml:space="preserve">5. Top 10 GUI/UX Problems</w:t>
      </w:r>
    </w:p>
    <w:p>
      <w:pPr>
        <w:pBdr>
          <w:bottom w:val="single" w:color="BDC3C7" w:sz="4"/>
        </w:pBdr>
        <w:spacing w:after="160" w:before="160"/>
      </w:pPr>
      <w:r>
        <w:t xml:space="preserve"/>
      </w:r>
    </w:p>
    <w:p>
      <w:pPr>
        <w:spacing w:after="100" w:before="60"/>
      </w:pPr>
      <w:r>
        <w:rPr>
          <w:rFonts w:ascii="Arial" w:cs="Arial" w:eastAsia="Arial" w:hAnsi="Arial"/>
          <w:color w:val="2C3E50"/>
          <w:sz w:val="22"/>
          <w:szCs w:val="22"/>
        </w:rPr>
        <w:t xml:space="preserve">Ranked by severity and user impact. Problems affecting daily live-session workflow score higher than configuration-time issues.</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#1 — i18n System Failure (P0)</w:t>
      </w:r>
    </w:p>
    <w:p>
      <w:pPr>
        <w:spacing w:after="100" w:before="60"/>
      </w:pPr>
      <w:r>
        <w:rPr>
          <w:rFonts w:ascii="Arial" w:cs="Arial" w:eastAsia="Arial" w:hAnsi="Arial"/>
          <w:color w:val="2C3E50"/>
          <w:sz w:val="22"/>
          <w:szCs w:val="22"/>
        </w:rPr>
        <w:t xml:space="preserve">At least 12 raw i18n translation keys are rendered verbatim in the live UI across the Audio panel (both CampaignView and AppLayout right sidebar), the Settings tab in CampaignView, the left sidebar settings tab label, and the Shortcut Overlay. This is not a cosmetic issue — the Audio panel is the primary music and ambient sound control surface, and its labels are completely illegible.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thick" w:color="C0392B" w:sz="20"/>
              <w:bottom w:val="single" w:color="C0392B" w:sz="1"/>
              <w:right w:val="single" w:color="C0392B" w:sz="1"/>
            </w:tcBorders>
            <w:shd w:fill="FDEDEC" w:val="clear"/>
            <w:tcMar>
              <w:top w:type="dxa" w:w="120"/>
              <w:left w:type="dxa" w:w="200"/>
              <w:bottom w:type="dxa" w:w="120"/>
              <w:right w:type="dxa" w:w="120"/>
            </w:tcMar>
          </w:tcPr>
          <w:p>
            <w:r>
              <w:rPr>
                <w:rFonts w:ascii="Arial" w:cs="Arial" w:eastAsia="Arial" w:hAnsi="Arial"/>
                <w:color w:val="2C3E50"/>
                <w:sz w:val="21"/>
                <w:szCs w:val="21"/>
              </w:rPr>
              <w:t xml:space="preserve">Visible raw keys confirmed in testing: AUDIO.TABMUSIC, AUDIO.TRACK1, AUDIO.TRACK2, AUDIO.COMBAT, audio.startCombat, AUDIO.TABSFX, audio.addBoard, audio.noBoards, audio.sfxHint, SETTINGS.TITLE, settings.title, audio.tabMusic, audio.tabSfx.</w:t>
            </w:r>
          </w:p>
        </w:tc>
      </w:tr>
    </w:tbl>
    <w:p>
      <w:pPr>
        <w:spacing w:after="200" w:before="200"/>
      </w:pPr>
      <w:r>
        <w:t xml:space="preserve"/>
      </w:r>
    </w:p>
    <w:p>
      <w:pPr>
        <w:pStyle w:val="Heading2"/>
        <w:spacing w:after="120" w:before="240"/>
      </w:pPr>
      <w:r>
        <w:rPr>
          <w:rFonts w:ascii="Arial" w:cs="Arial" w:eastAsia="Arial" w:hAnsi="Arial"/>
          <w:b/>
          <w:bCs/>
          <w:color w:val="2C3E50"/>
          <w:sz w:val="26"/>
          <w:szCs w:val="26"/>
        </w:rPr>
        <w:t xml:space="preserve">#2 — No User-Facing Map Names (P0)</w:t>
      </w:r>
    </w:p>
    <w:p>
      <w:pPr>
        <w:spacing w:after="100" w:before="60"/>
      </w:pPr>
      <w:r>
        <w:rPr>
          <w:rFonts w:ascii="Arial" w:cs="Arial" w:eastAsia="Arial" w:hAnsi="Arial"/>
          <w:color w:val="2C3E50"/>
          <w:sz w:val="22"/>
          <w:szCs w:val="22"/>
        </w:rPr>
        <w:t xml:space="preserve">Maps in BoltBerry are identified solely by their internal UUID filename (e.g., "1776241675349_ykxpp4giu0p"). This UUID appears in the left sidebar map list (truncated), the Session Start modal, and is never replaced with a user-assigned name because no naming mechanism exists anywhere in the interface. In any campaign with two or more maps, the GM cannot reliably distinguish between them.</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#3 — Toolbar Information Overload (P1)</w:t>
      </w:r>
    </w:p>
    <w:p>
      <w:pPr>
        <w:spacing w:after="100" w:before="60"/>
      </w:pPr>
      <w:r>
        <w:rPr>
          <w:rFonts w:ascii="Arial" w:cs="Arial" w:eastAsia="Arial" w:hAnsi="Arial"/>
          <w:color w:val="2C3E50"/>
          <w:sz w:val="22"/>
          <w:szCs w:val="22"/>
        </w:rPr>
        <w:t xml:space="preserve">The AppLayout toolbar contains more than 30 interactive elements in a single unbroken horizontal row: a sidebar toggle, an unlabeled counter, five work-mode pills, approximately 12 tool icons, a session-mode toggle, camera-sync buttons, a player-window button, a blackout button, undo/redo, zoom controls, a minimap toggle, a grid-snap toggle, a language toggle, a theme toggle, a shortcut button, and an additional overflow menu. There is no visual separator, no grouping, and no whitespace between logical sections. This is the highest-frequency interaction surface in the product and it is visually overwhelming.</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#4 — Right Sidebar 10-Tab Density (P1)</w:t>
      </w:r>
    </w:p>
    <w:p>
      <w:pPr>
        <w:spacing w:after="100" w:before="60"/>
      </w:pPr>
      <w:r>
        <w:rPr>
          <w:rFonts w:ascii="Arial" w:cs="Arial" w:eastAsia="Arial" w:hAnsi="Arial"/>
          <w:color w:val="2C3E50"/>
          <w:sz w:val="22"/>
          <w:szCs w:val="22"/>
        </w:rPr>
        <w:t xml:space="preserve">The right sidebar implements 10 panels in a 2-row × 5-column tab grid. The second row’s targets are small, the labels are truncated or abbreviated ("Chars", "Würfel"), and the icons are unclear at the rendered size. Switching between panels during a live session requires accurate clicking on targets that are approximately 40px wide. Combined with the fact that each panel serves a fundamentally different function (token list, dice roller, character viewer, room manager, overlay sender), the density makes panel discoverability poor.</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#5 — SetupWizard Branding Void (P1)</w:t>
      </w:r>
    </w:p>
    <w:p>
      <w:pPr>
        <w:spacing w:after="100" w:before="60"/>
      </w:pPr>
      <w:r>
        <w:rPr>
          <w:rFonts w:ascii="Arial" w:cs="Arial" w:eastAsia="Arial" w:hAnsi="Arial"/>
          <w:color w:val="2C3E50"/>
          <w:sz w:val="22"/>
          <w:szCs w:val="22"/>
        </w:rPr>
        <w:t xml:space="preserve">The first-run experience presents a folder-picker with no BoltBerry logo, name, or any product identity. The actual application design system (dark navy, bolt-yellow, distinctive logo) demonstrates that branded UI components exist and are well-executed. Their absence from the most impactful first-impression screen is a significant missed opportunity and projects a prototype-grade feel.</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 — Handout Creation UX Breakdown (P1)</w:t>
      </w:r>
    </w:p>
    <w:p>
      <w:pPr>
        <w:spacing w:after="100" w:before="60"/>
      </w:pPr>
      <w:r>
        <w:rPr>
          <w:rFonts w:ascii="Arial" w:cs="Arial" w:eastAsia="Arial" w:hAnsi="Arial"/>
          <w:color w:val="2C3E50"/>
          <w:sz w:val="22"/>
          <w:szCs w:val="22"/>
        </w:rPr>
        <w:t xml:space="preserve">"Bild wählen &amp; speichern" combines two separate actions — choosing an image file and saving the handout — into a single button interaction. This means text-only handouts cannot be created through any discoverable path, and the save action is tied to a file dialog rather than a predictable form submission. The cancel affordance is a tiny × appended to the far right of the large yellow CTA button, with no "Abbrechen" text link elsewhere.</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#7 — "FOG OF WAR" English Label in German UI (P1)</w:t>
      </w:r>
    </w:p>
    <w:p>
      <w:pPr>
        <w:spacing w:after="100" w:before="60"/>
      </w:pPr>
      <w:r>
        <w:rPr>
          <w:rFonts w:ascii="Arial" w:cs="Arial" w:eastAsia="Arial" w:hAnsi="Arial"/>
          <w:color w:val="2C3E50"/>
          <w:sz w:val="22"/>
          <w:szCs w:val="22"/>
        </w:rPr>
        <w:t xml:space="preserve">The shortcut overlay groups keyboard shortcuts under section headers: WERKZEUGE, KARTE &amp; NAVIGATION, KAMPF &amp; INITIATIVE, FOG OF WAR, ALLGEMEIN. Every section header is correct German except "FOG OF WAR", which is untranslated English. The German equivalent "Nebel des Krieges" or simply "Nebel" is the standard VTT term used in German gaming communities.</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#8 — Work Mode × Icon Ambiguity (P2)</w:t>
      </w:r>
    </w:p>
    <w:p>
      <w:pPr>
        <w:spacing w:after="100" w:before="60"/>
      </w:pPr>
      <w:r>
        <w:rPr>
          <w:rFonts w:ascii="Arial" w:cs="Arial" w:eastAsia="Arial" w:hAnsi="Arial"/>
          <w:color w:val="2C3E50"/>
          <w:sz w:val="22"/>
          <w:szCs w:val="22"/>
        </w:rPr>
        <w:t xml:space="preserve">The "Kampf" (combat) work-mode pill displays a × icon as its left-side glyph. In virtually every desktop GUI convention, × signals close, dismiss, or remove. Users unfamiliar with the application will see "Kampf" with a × prefix and hesitate, assuming it might close the combat mode or the panel. The icon appears to be intended as a crossed-swords or battle symbol, but at small toolbar sizes it reads as a dismiss control.</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#9 — Session Start Modal Displays UUID Map Name (P2)</w:t>
      </w:r>
    </w:p>
    <w:p>
      <w:pPr>
        <w:spacing w:after="100" w:before="60"/>
      </w:pPr>
      <w:r>
        <w:rPr>
          <w:rFonts w:ascii="Arial" w:cs="Arial" w:eastAsia="Arial" w:hAnsi="Arial"/>
          <w:color w:val="2C3E50"/>
          <w:sz w:val="22"/>
          <w:szCs w:val="22"/>
        </w:rPr>
        <w:t xml:space="preserve">The session start pre-flight modal — a genuinely well-conceived feature — is undermined by showing the raw map UUID ("Karte: 1776241675349_ykxpp4giu0p") in the checklist item confirming the map is loaded. This is the highest-stakes moment in the session workflow, and users cannot verify they have the right map loaded.</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#10 — Campaign Action Discoverability (P2)</w:t>
      </w:r>
    </w:p>
    <w:p>
      <w:pPr>
        <w:spacing w:after="100" w:before="60"/>
      </w:pPr>
      <w:r>
        <w:rPr>
          <w:rFonts w:ascii="Arial" w:cs="Arial" w:eastAsia="Arial" w:hAnsi="Arial"/>
          <w:color w:val="2C3E50"/>
          <w:sz w:val="22"/>
          <w:szCs w:val="22"/>
        </w:rPr>
        <w:t xml:space="preserve">The three campaign actions on the StartScreen (rename, duplicate, delete) are represented by emoji icons (✏️, 📋, 🗑) with no labels and no tooltips. The rename action is additionally gated behind double-clicking the campaign name, an interaction pattern that is undiscoverable without prior knowledge or accidental discovery. New users have no path to managing campaigns other than deleting them from the list.</w:t>
      </w:r>
    </w:p>
    <w:p>
      <w:r>
        <w:br w:type="page"/>
      </w:r>
    </w:p>
    <w:p>
      <w:pPr>
        <w:pStyle w:val="Heading1"/>
        <w:spacing w:after="160" w:before="320"/>
      </w:pPr>
      <w:r>
        <w:rPr>
          <w:rFonts w:ascii="Arial" w:cs="Arial" w:eastAsia="Arial" w:hAnsi="Arial"/>
          <w:b/>
          <w:bCs/>
          <w:color w:val="1A1A2E"/>
          <w:sz w:val="36"/>
          <w:szCs w:val="36"/>
        </w:rPr>
        <w:t xml:space="preserve">6. Highest-Value Improvements</w:t>
      </w:r>
    </w:p>
    <w:p>
      <w:pPr>
        <w:pBdr>
          <w:bottom w:val="single" w:color="BDC3C7" w:sz="4"/>
        </w:pBdr>
        <w:spacing w:after="160" w:before="160"/>
      </w:pPr>
      <w:r>
        <w:t xml:space="preserve"/>
      </w:r>
    </w:p>
    <w:p>
      <w:pPr>
        <w:spacing w:after="100" w:before="60"/>
      </w:pPr>
      <w:r>
        <w:rPr>
          <w:rFonts w:ascii="Arial" w:cs="Arial" w:eastAsia="Arial" w:hAnsi="Arial"/>
          <w:color w:val="2C3E50"/>
          <w:sz w:val="22"/>
          <w:szCs w:val="22"/>
        </w:rPr>
        <w:t xml:space="preserve">The following improvements are listed in descending order of impact-to-effort ratio. Items P0 and P1 must be resolved before release.</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6.1 Fix the i18n System (P0 — 1–2 days)</w:t>
      </w:r>
    </w:p>
    <w:p>
      <w:pPr>
        <w:spacing w:after="100" w:before="60"/>
      </w:pPr>
      <w:r>
        <w:rPr>
          <w:rFonts w:ascii="Arial" w:cs="Arial" w:eastAsia="Arial" w:hAnsi="Arial"/>
          <w:color w:val="2C3E50"/>
          <w:sz w:val="22"/>
          <w:szCs w:val="22"/>
        </w:rPr>
        <w:t xml:space="preserve">Root cause: One or more i18n translation namespaces are failing to load, causing react-i18next to fall back to key rendering. The issue is consistent across multiple unrelated keys and both languages, suggesting a namespace import or initialization failure rather than individual missing keys.</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Audit the i18n initialization in the renderer entry point.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Verify all translation JSON files are included in the Vite/Electron build output.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Check that namespace imports in AudioPanel.tsx, SettingsPanel.tsx, and sidebar settings tab components match the namespace names in the JSON files.</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an i18n lint step to the CI pipeline that fails on any missing key to prevent regression.</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6.2 Implement Map Naming (P0 — 1 day)</w:t>
      </w:r>
    </w:p>
    <w:p>
      <w:pPr>
        <w:spacing w:after="100" w:before="60"/>
      </w:pPr>
      <w:r>
        <w:rPr>
          <w:rFonts w:ascii="Arial" w:cs="Arial" w:eastAsia="Arial" w:hAnsi="Arial"/>
          <w:color w:val="2C3E50"/>
          <w:sz w:val="22"/>
          <w:szCs w:val="22"/>
        </w:rPr>
        <w:t xml:space="preserve">Add a user-facing name field to the map import flow and the map management UI.</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Insert a "Kartenname" input step after file selection in the import dialog, defaulting to the filename without the UUID prefix.</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Persist the user-defined name in the map store alongside the internal UUID.</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Render the user-defined name everywhere the map is referenced: left sidebar list item, session start modal checklist, and any future map-switching UI.</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6.3 Redesign the Toolbar with Visual Grouping (P1 — 3–5 days)</w:t>
      </w:r>
    </w:p>
    <w:p>
      <w:pPr>
        <w:spacing w:after="100" w:before="60"/>
      </w:pPr>
      <w:r>
        <w:rPr>
          <w:rFonts w:ascii="Arial" w:cs="Arial" w:eastAsia="Arial" w:hAnsi="Arial"/>
          <w:color w:val="2C3E50"/>
          <w:sz w:val="22"/>
          <w:szCs w:val="22"/>
        </w:rPr>
        <w:t xml:space="preserve">Split the toolbar into named logical groups separated by 1px dividers or 12px gaps:</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Group 1: Sidebar collapse toggle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Group 2: Work mode pills (Prep / Spiel / Kampf / Fog / Vorschau)</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Group 3: Tool icons (context-sensitive, changes per mode)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Group 4: Session controls (VORBEREITUNG/LIVE toggle, player window, camera sync, blackout)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Group 5: View controls (undo/redo, zoom, minimap, grid snap)</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Group 6: App controls (language, theme, shortcuts, help)</w:t>
      </w:r>
    </w:p>
    <w:p>
      <w:pPr>
        <w:spacing w:after="100" w:before="60"/>
      </w:pPr>
      <w:r>
        <w:rPr>
          <w:rFonts w:ascii="Arial" w:cs="Arial" w:eastAsia="Arial" w:hAnsi="Arial"/>
          <w:color w:val="2C3E50"/>
          <w:sz w:val="22"/>
          <w:szCs w:val="22"/>
        </w:rPr>
        <w:t xml:space="preserve">Replace the "4 T..." counter with a properly labeled token count badge with a tooltip ("4 Token auf der Karte").</w:t>
      </w:r>
    </w:p>
    <w:p>
      <w:pPr>
        <w:spacing w:after="100" w:before="60"/>
      </w:pPr>
      <w:r>
        <w:rPr>
          <w:rFonts w:ascii="Arial" w:cs="Arial" w:eastAsia="Arial" w:hAnsi="Arial"/>
          <w:color w:val="2C3E50"/>
          <w:sz w:val="22"/>
          <w:szCs w:val="22"/>
        </w:rPr>
        <w:t xml:space="preserve">Replace the × icon on "Kampf" with a crossed-swords SVG icon (or ⚔️ at appropriate size) to differentiate it from a close/dismiss control.</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6.4 Simplify the Right Sidebar Navigation (P1 — 2–3 days)</w:t>
      </w:r>
    </w:p>
    <w:p>
      <w:pPr>
        <w:spacing w:after="100" w:before="60"/>
      </w:pPr>
      <w:r>
        <w:rPr>
          <w:rFonts w:ascii="Arial" w:cs="Arial" w:eastAsia="Arial" w:hAnsi="Arial"/>
          <w:color w:val="2C3E50"/>
          <w:sz w:val="22"/>
          <w:szCs w:val="22"/>
        </w:rPr>
        <w:t xml:space="preserve">The ten-panel right sidebar needs restructuring to reduce tab density during live play:</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Consolidate the 10 tabs into a contextual system: show Tokens + Initiative + Räume during play, Charaktere + Notizen + Handouts during prep, Würfel + Overlay always visible.</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Alternatively: adopt a single-row tab strip with icons+labels that scroll horizontally if needed, increasing individual tab target size to minimum 44px.</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an "overflow" pattern for secondary panels rather than jamming all 10 into two rows.</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6.5 Brand the SetupWizard (P1 — 0.5 day)</w:t>
      </w:r>
    </w:p>
    <w:p>
      <w:pPr>
        <w:spacing w:after="100" w:before="60"/>
      </w:pPr>
      <w:r>
        <w:rPr>
          <w:rFonts w:ascii="Arial" w:cs="Arial" w:eastAsia="Arial" w:hAnsi="Arial"/>
          <w:color w:val="2C3E50"/>
          <w:sz w:val="22"/>
          <w:szCs w:val="22"/>
        </w:rPr>
        <w:t xml:space="preserve">This is the highest-leverage lowest-effort fix in this list: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the BoltBerry logo and name to the top of the wizard panel.</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a brief one-line description: "Wähle einen Ordner, in dem BoltBerry deine Kampagnendaten speichert."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a "Willkommen bei BoltBerry" welcome heading above the folder picker.</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6.6 Fix Handout Creation Flow (P1 — 1 day)</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Separate image selection from saving: provide a "Bild auswählen" button and a separate "Speichern" button.</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Allow saving a handout without an image (text-only handout).</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Replace the × appended to the CTA with a standalone "Abbrechen" text button at the same row level.</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Wrap the inline form in a card surface (slightly elevated background color) so it is visually separated from the handout list.</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6.7 Translate "FOG OF WAR" (P1 — 15 minutes)</w:t>
      </w:r>
    </w:p>
    <w:p>
      <w:pPr>
        <w:spacing w:after="100" w:before="60"/>
      </w:pPr>
      <w:r>
        <w:rPr>
          <w:rFonts w:ascii="Arial" w:cs="Arial" w:eastAsia="Arial" w:hAnsi="Arial"/>
          <w:color w:val="2C3E50"/>
          <w:sz w:val="22"/>
          <w:szCs w:val="22"/>
        </w:rPr>
        <w:t xml:space="preserve">Change the shortcut overlay section header from "FOG OF WAR" to "NEBEL DES KRIEGES" in the German locale file, and ensure the English locale uses "FOG OF WAR" or "FOG OF WAR" consistently.</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6.8 Add Tooltips to Campaign Card Actions (P2 — 0.5 day)</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native HTML title attributes or a tooltip component to the ✏️, 📋, 🗑 buttons on each campaign card.</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Add a visible "Umbenennen" affordance — either an edit icon in the campaign title row or a hover-reveal pencil — to surface the double-click rename interaction.</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6.9 Block or Warn on Incomplete Session Start (P2 — 0.5 day)</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If the player window is not open when "Jetzt live gehen" is clicked, show a confirmation: "Das Spielerfenster ist nicht geöffnet. Trotzdem live gehen?"</w:t>
      </w:r>
    </w:p>
    <w:p>
      <w:pPr>
        <w:pStyle w:val="ListParagraph"/>
        <w:numPr>
          <w:ilvl w:val="0"/>
          <w:numId w:val="2"/>
        </w:numPr>
        <w:spacing w:after="60" w:before="40"/>
        <w:ind w:left="720" w:hanging="360"/>
      </w:pPr>
      <w:r>
        <w:rPr>
          <w:rFonts w:ascii="Arial" w:cs="Arial" w:eastAsia="Arial" w:hAnsi="Arial"/>
          <w:b w:val="false"/>
          <w:bCs w:val="false"/>
          <w:color w:val="2C3E50"/>
          <w:sz w:val="22"/>
          <w:szCs w:val="22"/>
        </w:rPr>
        <w:t xml:space="preserve">If no tokens are visible to players, show the same confirmation pattern rather than silently proceeding.</w:t>
      </w:r>
    </w:p>
    <w:p>
      <w:pPr>
        <w:spacing w:after="200" w:before="200"/>
      </w:pPr>
      <w:r>
        <w:t xml:space="preserve"/>
      </w:r>
    </w:p>
    <w:p>
      <w:pPr>
        <w:pStyle w:val="Heading2"/>
        <w:spacing w:after="120" w:before="240"/>
      </w:pPr>
      <w:r>
        <w:rPr>
          <w:rFonts w:ascii="Arial" w:cs="Arial" w:eastAsia="Arial" w:hAnsi="Arial"/>
          <w:b/>
          <w:bCs/>
          <w:color w:val="2C3E50"/>
          <w:sz w:val="26"/>
          <w:szCs w:val="26"/>
        </w:rPr>
        <w:t xml:space="preserve">6.10 Remove Settings Duplication (P2 — 0.5 day)</w:t>
      </w:r>
    </w:p>
    <w:p>
      <w:pPr>
        <w:spacing w:after="100" w:before="60"/>
      </w:pPr>
      <w:r>
        <w:rPr>
          <w:rFonts w:ascii="Arial" w:cs="Arial" w:eastAsia="Arial" w:hAnsi="Arial"/>
          <w:color w:val="2C3E50"/>
          <w:sz w:val="22"/>
          <w:szCs w:val="22"/>
        </w:rPr>
        <w:t xml:space="preserve">The Settings content (data folder, import/export/backup) appears in both CampaignView Einstellungen tab and the AppLayout left sidebar settings panel. These should be unified into a single canonical location. Recommendation: keep it in a dedicated settings panel accessible from the toolbar, and remove it from the CampaignView tab.</w:t>
      </w:r>
    </w:p>
    <w:p>
      <w:r>
        <w:br w:type="page"/>
      </w:r>
    </w:p>
    <w:p>
      <w:pPr>
        <w:pStyle w:val="Heading1"/>
        <w:spacing w:after="160" w:before="320"/>
      </w:pPr>
      <w:r>
        <w:rPr>
          <w:rFonts w:ascii="Arial" w:cs="Arial" w:eastAsia="Arial" w:hAnsi="Arial"/>
          <w:b/>
          <w:bCs/>
          <w:color w:val="1A1A2E"/>
          <w:sz w:val="36"/>
          <w:szCs w:val="36"/>
        </w:rPr>
        <w:t xml:space="preserve">7. Final Verdict</w:t>
      </w:r>
    </w:p>
    <w:p>
      <w:pPr>
        <w:pBdr>
          <w:bottom w:val="single" w:color="BDC3C7" w:sz="4"/>
        </w:pBdr>
        <w:spacing w:after="160" w:before="160"/>
      </w:pPr>
      <w:r>
        <w:t xml:space="preserve"/>
      </w:r>
    </w:p>
    <w:p>
      <w:pPr>
        <w:pStyle w:val="Heading2"/>
        <w:spacing w:after="120" w:before="240"/>
      </w:pPr>
      <w:r>
        <w:rPr>
          <w:rFonts w:ascii="Arial" w:cs="Arial" w:eastAsia="Arial" w:hAnsi="Arial"/>
          <w:b/>
          <w:bCs/>
          <w:color w:val="2C3E50"/>
          <w:sz w:val="26"/>
          <w:szCs w:val="26"/>
        </w:rPr>
        <w:t xml:space="preserve">Ship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22"/>
                <w:szCs w:val="22"/>
              </w:rPr>
              <w:t xml:space="preserve">STRENGTHS</w:t>
            </w:r>
          </w:p>
          <w:p>
            <w:pPr>
              <w:spacing w:before="80"/>
            </w:pPr>
            <w:r>
              <w:rPr>
                <w:rFonts w:ascii="Arial" w:cs="Arial" w:eastAsia="Arial" w:hAnsi="Arial"/>
                <w:color w:val="2C3E50"/>
                <w:sz w:val="20"/>
                <w:szCs w:val="20"/>
              </w:rPr>
              <w:t xml:space="preserve">Dark navy design language is genre-appropriate and distinctive</w:t>
            </w:r>
          </w:p>
          <w:p>
            <w:pPr>
              <w:spacing w:before="40"/>
            </w:pPr>
            <w:r>
              <w:rPr>
                <w:rFonts w:ascii="Arial" w:cs="Arial" w:eastAsia="Arial" w:hAnsi="Arial"/>
                <w:color w:val="2C3E50"/>
                <w:sz w:val="20"/>
                <w:szCs w:val="20"/>
              </w:rPr>
              <w:t xml:space="preserve">BoltBerry logo and color system (bolt-yellow / berry-blue) are strong</w:t>
            </w:r>
          </w:p>
          <w:p>
            <w:pPr>
              <w:spacing w:before="40"/>
            </w:pPr>
            <w:r>
              <w:rPr>
                <w:rFonts w:ascii="Arial" w:cs="Arial" w:eastAsia="Arial" w:hAnsi="Arial"/>
                <w:color w:val="2C3E50"/>
                <w:sz w:val="20"/>
                <w:szCs w:val="20"/>
              </w:rPr>
              <w:t xml:space="preserve">CampaignView five-tab structure is clear and well-organized</w:t>
            </w:r>
          </w:p>
          <w:p>
            <w:pPr>
              <w:spacing w:before="40"/>
            </w:pPr>
            <w:r>
              <w:rPr>
                <w:rFonts w:ascii="Arial" w:cs="Arial" w:eastAsia="Arial" w:hAnsi="Arial"/>
                <w:color w:val="2C3E50"/>
                <w:sz w:val="20"/>
                <w:szCs w:val="20"/>
              </w:rPr>
              <w:t xml:space="preserve">Session start pre-flight checklist is a genuinely good UX pattern</w:t>
            </w:r>
          </w:p>
          <w:p>
            <w:pPr>
              <w:spacing w:before="40"/>
            </w:pPr>
            <w:r>
              <w:rPr>
                <w:rFonts w:ascii="Arial" w:cs="Arial" w:eastAsia="Arial" w:hAnsi="Arial"/>
                <w:color w:val="2C3E50"/>
                <w:sz w:val="20"/>
                <w:szCs w:val="20"/>
              </w:rPr>
              <w:t xml:space="preserve">Status bar is appropriately minimal yet informative</w:t>
            </w:r>
          </w:p>
          <w:p>
            <w:pPr>
              <w:spacing w:before="40"/>
            </w:pPr>
            <w:r>
              <w:rPr>
                <w:rFonts w:ascii="Arial" w:cs="Arial" w:eastAsia="Arial" w:hAnsi="Arial"/>
                <w:color w:val="2C3E50"/>
                <w:sz w:val="20"/>
                <w:szCs w:val="20"/>
              </w:rPr>
              <w:t xml:space="preserve">Fog mode correctly contextualizes the toolbar to fog tools</w:t>
            </w:r>
          </w:p>
          <w:p>
            <w:pPr>
              <w:spacing w:before="40"/>
            </w:pPr>
            <w:r>
              <w:rPr>
                <w:rFonts w:ascii="Arial" w:cs="Arial" w:eastAsia="Arial" w:hAnsi="Arial"/>
                <w:color w:val="2C3E50"/>
                <w:sz w:val="20"/>
                <w:szCs w:val="20"/>
              </w:rPr>
              <w:t xml:space="preserve">Räume and Overlay panels are well-structured</w:t>
            </w:r>
          </w:p>
          <w:p>
            <w:pPr>
              <w:spacing w:before="40"/>
            </w:pPr>
            <w:r>
              <w:rPr>
                <w:rFonts w:ascii="Arial" w:cs="Arial" w:eastAsia="Arial" w:hAnsi="Arial"/>
                <w:color w:val="2C3E50"/>
                <w:sz w:val="20"/>
                <w:szCs w:val="20"/>
              </w:rPr>
              <w:t xml:space="preserve">Shortcut overlay is comprehensive and accessible</w:t>
            </w:r>
          </w:p>
        </w:tc>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22"/>
                <w:szCs w:val="22"/>
              </w:rPr>
              <w:t xml:space="preserve">BLOCKERS</w:t>
            </w:r>
          </w:p>
          <w:p>
            <w:pPr>
              <w:spacing w:before="80"/>
            </w:pPr>
            <w:r>
              <w:rPr>
                <w:rFonts w:ascii="Arial" w:cs="Arial" w:eastAsia="Arial" w:hAnsi="Arial"/>
                <w:color w:val="2C3E50"/>
                <w:sz w:val="20"/>
                <w:szCs w:val="20"/>
              </w:rPr>
              <w:t xml:space="preserve">P0: i18n failure renders Audio and Settings panels unusable</w:t>
            </w:r>
          </w:p>
          <w:p>
            <w:pPr>
              <w:spacing w:before="40"/>
            </w:pPr>
            <w:r>
              <w:rPr>
                <w:rFonts w:ascii="Arial" w:cs="Arial" w:eastAsia="Arial" w:hAnsi="Arial"/>
                <w:color w:val="2C3E50"/>
                <w:sz w:val="20"/>
                <w:szCs w:val="20"/>
              </w:rPr>
              <w:t xml:space="preserve">P0: No map naming; UUID-only identifiers break multi-map campaigns</w:t>
            </w:r>
          </w:p>
          <w:p>
            <w:pPr>
              <w:spacing w:before="40"/>
            </w:pPr>
            <w:r>
              <w:rPr>
                <w:rFonts w:ascii="Arial" w:cs="Arial" w:eastAsia="Arial" w:hAnsi="Arial"/>
                <w:color w:val="2C3E50"/>
                <w:sz w:val="20"/>
                <w:szCs w:val="20"/>
              </w:rPr>
              <w:t xml:space="preserve">P1: Toolbar overload makes the primary work surface overwhelming</w:t>
            </w:r>
          </w:p>
          <w:p>
            <w:pPr>
              <w:spacing w:before="40"/>
            </w:pPr>
            <w:r>
              <w:rPr>
                <w:rFonts w:ascii="Arial" w:cs="Arial" w:eastAsia="Arial" w:hAnsi="Arial"/>
                <w:color w:val="2C3E50"/>
                <w:sz w:val="20"/>
                <w:szCs w:val="20"/>
              </w:rPr>
              <w:t xml:space="preserve">P1: Right sidebar 10-tab density impedes live-session panel access</w:t>
            </w:r>
          </w:p>
          <w:p>
            <w:pPr>
              <w:spacing w:before="40"/>
            </w:pPr>
            <w:r>
              <w:rPr>
                <w:rFonts w:ascii="Arial" w:cs="Arial" w:eastAsia="Arial" w:hAnsi="Arial"/>
                <w:color w:val="2C3E50"/>
                <w:sz w:val="20"/>
                <w:szCs w:val="20"/>
              </w:rPr>
              <w:t xml:space="preserve">P1: SetupWizard has zero product branding</w:t>
            </w:r>
          </w:p>
          <w:p>
            <w:pPr>
              <w:spacing w:before="40"/>
            </w:pPr>
            <w:r>
              <w:rPr>
                <w:rFonts w:ascii="Arial" w:cs="Arial" w:eastAsia="Arial" w:hAnsi="Arial"/>
                <w:color w:val="2C3E50"/>
                <w:sz w:val="20"/>
                <w:szCs w:val="20"/>
              </w:rPr>
              <w:t xml:space="preserve">P1: Handout creation flow is broken (conflated action, hidden cancel)</w:t>
            </w:r>
          </w:p>
          <w:p>
            <w:pPr>
              <w:spacing w:before="40"/>
            </w:pPr>
            <w:r>
              <w:rPr>
                <w:rFonts w:ascii="Arial" w:cs="Arial" w:eastAsia="Arial" w:hAnsi="Arial"/>
                <w:color w:val="2C3E50"/>
                <w:sz w:val="20"/>
                <w:szCs w:val="20"/>
              </w:rPr>
              <w:t xml:space="preserve">P1: "FOG OF WAR" English label in German UI</w:t>
            </w:r>
          </w:p>
        </w:tc>
      </w:tr>
    </w:tbl>
    <w:p>
      <w:pPr>
        <w:spacing w:after="300" w:before="300"/>
      </w:pPr>
      <w:r>
        <w:t xml:space="preserve"/>
      </w:r>
    </w:p>
    <w:p>
      <w:pPr>
        <w:pStyle w:val="Heading2"/>
        <w:spacing w:after="120" w:before="240"/>
      </w:pPr>
      <w:r>
        <w:rPr>
          <w:rFonts w:ascii="Arial" w:cs="Arial" w:eastAsia="Arial" w:hAnsi="Arial"/>
          <w:b/>
          <w:bCs/>
          <w:color w:val="2C3E50"/>
          <w:sz w:val="26"/>
          <w:szCs w:val="26"/>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thick" w:color="C0392B" w:sz="20"/>
              <w:bottom w:val="single" w:color="C0392B" w:sz="1"/>
              <w:right w:val="single" w:color="C0392B" w:sz="1"/>
            </w:tcBorders>
            <w:shd w:fill="FDEDEC" w:val="clear"/>
            <w:tcMar>
              <w:top w:type="dxa" w:w="120"/>
              <w:left w:type="dxa" w:w="200"/>
              <w:bottom w:type="dxa" w:w="120"/>
              <w:right w:type="dxa" w:w="120"/>
            </w:tcMar>
          </w:tcPr>
          <w:p>
            <w:r>
              <w:rPr>
                <w:rFonts w:ascii="Arial" w:cs="Arial" w:eastAsia="Arial" w:hAnsi="Arial"/>
                <w:color w:val="2C3E50"/>
                <w:sz w:val="21"/>
                <w:szCs w:val="21"/>
              </w:rPr>
              <w:t xml:space="preserve">DO NOT SHIP. Fix the two P0 blockers (i18n system and map naming) as an emergency patch. Address all P1 issues before any public release. With focused effort, the application could be release-ready within 2–3 sprints.</w:t>
            </w:r>
          </w:p>
        </w:tc>
      </w:tr>
    </w:tbl>
    <w:p>
      <w:pPr>
        <w:spacing w:after="200" w:before="200"/>
      </w:pPr>
      <w:r>
        <w:t xml:space="preserve"/>
      </w:r>
    </w:p>
    <w:p>
      <w:pPr>
        <w:spacing w:after="100" w:before="60"/>
      </w:pPr>
      <w:r>
        <w:rPr>
          <w:rFonts w:ascii="Arial" w:cs="Arial" w:eastAsia="Arial" w:hAnsi="Arial"/>
          <w:color w:val="2C3E50"/>
          <w:sz w:val="22"/>
          <w:szCs w:val="22"/>
        </w:rPr>
        <w:t xml:space="preserve">BoltBerry has a solid foundation. The dual-window architecture is well-conceived, the feature set is competitive with commercial VTT tools, and the visual identity is distinctive. The problems identified in this audit are fixable, and many of the highest-impact ones require relatively little engineering effort (the i18n fix, SetupWizard branding, FOG OF WAR translation).</w:t>
      </w:r>
    </w:p>
    <w:p>
      <w:pPr>
        <w:spacing w:after="100" w:before="100"/>
      </w:pPr>
      <w:r>
        <w:t xml:space="preserve"/>
      </w:r>
    </w:p>
    <w:p>
      <w:pPr>
        <w:spacing w:after="100" w:before="60"/>
      </w:pPr>
      <w:r>
        <w:rPr>
          <w:rFonts w:ascii="Arial" w:cs="Arial" w:eastAsia="Arial" w:hAnsi="Arial"/>
          <w:color w:val="2C3E50"/>
          <w:sz w:val="22"/>
          <w:szCs w:val="22"/>
        </w:rPr>
        <w:t xml:space="preserve">The application’s core interaction model — canvas-based map editing, token placement, fog of war drawing, initiative tracking — was not broken in any fundamental way during testing. The bugs found are surface-level rendering and naming failures rather than architectural defects. This is an encouraging sign that the fix burden, while non-trivial, does not require a structural rethink.</w:t>
      </w:r>
    </w:p>
    <w:p>
      <w:pPr>
        <w:spacing w:after="300" w:before="300"/>
      </w:pPr>
      <w:r>
        <w:t xml:space="preserve"/>
      </w:r>
    </w:p>
    <w:p>
      <w:pPr>
        <w:pStyle w:val="Heading2"/>
        <w:spacing w:after="120" w:before="240"/>
      </w:pPr>
      <w:r>
        <w:rPr>
          <w:rFonts w:ascii="Arial" w:cs="Arial" w:eastAsia="Arial" w:hAnsi="Arial"/>
          <w:b/>
          <w:bCs/>
          <w:color w:val="2C3E50"/>
          <w:sz w:val="26"/>
          <w:szCs w:val="26"/>
        </w:rPr>
        <w:t xml:space="preserve">Release Criteria</w:t>
      </w:r>
    </w:p>
    <w:p>
      <w:pPr>
        <w:spacing w:after="100" w:before="60"/>
      </w:pPr>
      <w:r>
        <w:rPr>
          <w:rFonts w:ascii="Arial" w:cs="Arial" w:eastAsia="Arial" w:hAnsi="Arial"/>
          <w:color w:val="2C3E50"/>
          <w:sz w:val="22"/>
          <w:szCs w:val="22"/>
        </w:rPr>
        <w:t xml:space="preserve">BoltBerry should be considered release-ready when all of the following are verified:</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All i18n translation keys render correctly in both German and English locales, verified by a systematic key audit and CI lint gate.</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All maps can be assigned a user-facing name at import time, and that name is displayed consistently throughout the UI.</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The toolbar has clear visual grouping (separators or spacing) between its logical sections.</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The SetupWizard displays the BoltBerry logo, application name, and a brief folder-purpose explanation.</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The Handout creation form separates image selection from save, and has a clearly labeled cancel action.</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The shortcut overlay "FOG OF WAR" section header is translated to German.</w:t>
      </w:r>
    </w:p>
    <w:p>
      <w:pPr>
        <w:pStyle w:val="ListParagraph"/>
        <w:numPr>
          <w:ilvl w:val="0"/>
          <w:numId w:val="3"/>
        </w:numPr>
        <w:spacing w:after="60" w:before="40"/>
        <w:ind w:left="720" w:hanging="360"/>
      </w:pPr>
      <w:r>
        <w:rPr>
          <w:rFonts w:ascii="Arial" w:cs="Arial" w:eastAsia="Arial" w:hAnsi="Arial"/>
          <w:b w:val="false"/>
          <w:bCs w:val="false"/>
          <w:color w:val="2C3E50"/>
          <w:sz w:val="22"/>
          <w:szCs w:val="22"/>
        </w:rPr>
        <w:t xml:space="preserve">All P2 items in this report are either fixed or formally accepted as known limitations with a documented rationale.</w:t>
      </w:r>
    </w:p>
    <w:p>
      <w:pPr>
        <w:spacing w:after="200" w:before="200"/>
      </w:pPr>
      <w:r>
        <w:t xml:space="preserve"/>
      </w:r>
    </w:p>
    <w:p>
      <w:pPr>
        <w:pBdr>
          <w:bottom w:val="single" w:color="BDC3C7" w:sz="4"/>
        </w:pBdr>
        <w:spacing w:after="160" w:before="160"/>
      </w:pPr>
      <w:r>
        <w:t xml:space="preserve"/>
      </w:r>
    </w:p>
    <w:p>
      <w:pPr>
        <w:spacing w:before="120"/>
        <w:jc w:val="center"/>
      </w:pPr>
      <w:r>
        <w:rPr>
          <w:rFonts w:ascii="Arial" w:cs="Arial" w:eastAsia="Arial" w:hAnsi="Arial"/>
          <w:i/>
          <w:iCs/>
          <w:color w:val="7F8C8D"/>
          <w:sz w:val="18"/>
          <w:szCs w:val="18"/>
        </w:rPr>
        <w:t xml:space="preserve">BoltBerry GUI/UX Audit — April 2026 — Conducted via live interactive testing of all screens, panels, and workflows in v0.19.0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pBdr>
      <w:tabs>
        <w:tab w:val="right" w:pos="9026"/>
      </w:tabs>
    </w:pPr>
    <w:r>
      <w:rPr>
        <w:rFonts w:ascii="Arial" w:cs="Arial" w:eastAsia="Arial" w:hAnsi="Arial"/>
        <w:color w:val="7F8C8D"/>
        <w:sz w:val="18"/>
        <w:szCs w:val="18"/>
      </w:rPr>
      <w:t xml:space="preserve">BoltBerry v0.19.0  —  UX/UI Audit Report</w:t>
    </w:r>
    <w:r>
      <w:rPr>
        <w:rFonts w:ascii="Arial" w:cs="Arial" w:eastAsia="Arial" w:hAnsi="Arial"/>
        <w:color w:val="7F8C8D"/>
        <w:sz w:val="18"/>
        <w:szCs w:val="18"/>
      </w:rPr>
      <w:t xml:space="preserve">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2026-04-15T08:41:32.413Z</dcterms:created>
  <dcterms:modified xsi:type="dcterms:W3CDTF">2026-04-15T08:41:32.413Z</dcterms:modified>
</cp:coreProperties>
</file>

<file path=docProps/custom.xml><?xml version="1.0" encoding="utf-8"?>
<Properties xmlns="http://schemas.openxmlformats.org/officeDocument/2006/custom-properties" xmlns:vt="http://schemas.openxmlformats.org/officeDocument/2006/docPropsVTypes"/>
</file>