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2240" w:h="15840"/>
          <w:pgMar w:top="1440" w:right="1440" w:bottom="1440" w:left="1440" w:header="720" w:footer="708" w:gutter="0"/>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2527A48B" w14:textId="77777777" w:rsidR="009616FF" w:rsidRDefault="009616FF" w:rsidP="009616FF">
      <w:pPr>
        <w:pStyle w:val="Standard"/>
        <w:spacing w:before="0"/>
        <w:jc w:val="center"/>
      </w:pPr>
      <w:r>
        <w:t>Sign</w:t>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2240" w:h="15840"/>
          <w:pgMar w:top="1418" w:right="1418" w:bottom="1418" w:left="1418" w:header="720"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modern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 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 (the Biometric Puzzle, scored from eye- and mouth-aspect ratios and head pose) 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 as concrete future work: formal presentation-attack certification and additional biometric modalities.</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 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(passwords, physical access cards, and shallow single-factor biometrics)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are the badges that open doors, gates, and elevators in most organizations, and they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at the sophisticated end,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lay a deeper, structural problem: </w:t>
      </w:r>
      <w:r>
        <w:rPr>
          <w:rFonts w:ascii="Times New Roman" w:hAnsi="Times New Roman" w:cs="Times New Roman"/>
          <w:b/>
          <w:i w:val="0"/>
          <w:sz w:val="24"/>
          <w:u w:val="none"/>
        </w:rPr>
        <w:t>a person's identity is splintered into physical and digital fragments, each held captive by the ecosystem that manages it.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find little that combines open extensibility, robust anti-spoofing, cloud-native scalability, and strict per-tenant data isolation in a single coherent system. The capability they seek amounts to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deficiencies are intertwined: the brittleness of passwords and cards, the spoofability of shallow biometrics, the fragmentation of physical and digital identity, and the absence of an open, multi-tenant biometric platform. Together they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These interfaces let users enroll their biometric data and authenticate their identity, and let administrators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This chapter draws the boundaries of FIVUCSAS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implemented in Spring Boot 3.4.7 on Java 21 [3],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implemented in FastAPI on Python 3.12 [4],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the project's signature "Biometric Puzzle",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(the hardest and most novel parts)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the entire stack (Spring Boot, FastAPI, PostgreSQL/pgvector, Redis, Traefik, DeepFace, MediaPipe, MiniFASNet, Kotlin Multiplatform, React) is open source. It also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rather than GPU clusters and Kubernetes,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for which the team had less depth,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Table 2.1 restates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Project objectives, their target KPIs, and delivered outcomes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O1: Secure, scalable backend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~1,595 JUnit 5 backend test methods and 888 pytest functions exercise the APIs; user/tenant/role CRUD operate live.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O2: "Biometric Puzzle" active liveness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O3: High-accuracy face recognition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O4: User-friendly mobile app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O5: Isolated multi-tenant data model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the algorithms run in production and the ISO/IEC 30107-3 evaluation harness (APCER, BPCER, ACER, EER) exists. Their headline numbers (95%, 99%, FAR&lt;1%, FRR&lt;5%), however, were stated as targets and measured only under controlled conditions. We therefore present them as targets throughout, never as certified benchmark results; the controlled recognition benchmark itself is reported in Section 5.8.3.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(for example, p95 authentication latency under 200 ms and verification under 500 ms)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(use-case, class, ER, sequence, activity, and finite-state-machine diagrams), and progress was tracked with Gantt charts across the fall and spring semesters, shown in Figure 2.2 and Figure 2.3.</w:t>
      </w:r>
    </w:p>
    <w:p>
      <w:pPr>
        <w:jc w:val="center"/>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Fall-semester project Gantt chart</w:t>
      </w:r>
    </w:p>
    <w:p>
      <w:pPr>
        <w:jc w:val="center"/>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The development environment and its CI/CD context are shown in Figure 2.4.</w:t>
      </w:r>
    </w:p>
    <w:p>
      <w:pPr>
        <w:jc w:val="center"/>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was economically viable to operate at MVP scale. The same multi-tenancy that made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(the energy its servers and client devices consume),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which is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strengthened authentication security and improved user experience by removing reliance on stolen-able passwords and clone-able cards, while unifying fragmented physical and digital identity. We were equally conscious of the social risk inherent in face technology (surveillance and misuse)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Okta, Auth0, and Microsoft Entra ID (formerly Azure Active Directory),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(a biometric-first, cloud-native posture built on the industry-validated hosted-login pattern of Auth0 Universal Login, Okta, and Microsoft Entra) is summarized there alongside the full comparison.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 Table 2.2 compares the candidate models.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Comparison of representative deep-learning face-recognition models (embedding dimension, architecture, reported LFW accuracy)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(printed photos, replayed video, 3-D masks, and increasingly AI-generated deepfakes)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texture via Local Binary Patterns, frequency-domain analysis for moiré, color-space consistency, and CNN classifiers such as MiniFASNet [16]. They offer a frictionless experience but remain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such as MediaPipe Face Mesh [14] (468/478 landmarks), together with lightweight detectors such as BlazeFace [45],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sharpens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(keeping vectors transactionally beside relational data)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 Table 2.3 positions it against representative solutions.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Positioning of FIVUCSAS against representative IAM and biometric solutions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(use cases, the domain and data model, the user-facing surfaces, and the test plan),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six functional requirements and seven nonfunctional categories,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 Table 3.1 lists them.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Functional requirements of the FIVUCSAS platform</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nine tenant-scoped entities (audit logs, sessions, MFA sessions, enrollments, verification sessions, OAuth2 clients, devices, auth flows, and user settings),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Table 3.2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Nonfunctional requirements and their realization</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as more than a cache: it is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(login p95 below 300 ms, verification p95 below 500 ms),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logging and continuing when Redis is unavailable,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is bilingual (English and Turkish) across the dashboard, hosted login, and mobile clients,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(databases, ML models, message buses)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a third-party application that integrates via redirective OpenID Connect. The overall organization of responsibilities is shown in Figure 3.1.</w:t>
      </w:r>
    </w:p>
    <w:p>
      <w:pPr>
        <w:jc w:val="center"/>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the happy path never proceeds without them.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spacing w:before="120" w:after="0"/>
      </w:pPr>
      <w:r>
        <w:drawing>
          <wp:inline xmlns:a="http://schemas.openxmlformats.org/drawingml/2006/main" xmlns:pic="http://schemas.openxmlformats.org/drawingml/2006/picture">
            <wp:extent cx="5394960" cy="9405117"/>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5394960" cy="940511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31 JPA entities materialized through 84 Flyway migrations spanning V0–V84 (the V13 number was never used; the highest applied in production at the time of writing was V83). The entity-relationship structure spans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it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Entity-relationship diagram of the FIVUCSAS schema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all sharing a common authentication engine and internationalization layer: a web admin dashboard, a hosted login page, embeddable widgets, and native mobile/desktop clients.</w:t>
      </w:r>
    </w:p>
    <w:p>
      <w:pPr>
        <w:jc w:val="both"/>
        <w:spacing w:after="120" w:line="360" w:lineRule="auto"/>
        <w:ind w:firstLine="426"/>
      </w:pPr>
      <w:r>
        <w:rPr>
          <w:rFonts w:ascii="Times New Roman" w:hAnsi="Times New Roman" w:cs="Times New Roman"/>
          <w:b/>
          <w:i w:val="0"/>
          <w:sz w:val="24"/>
          <w:u w:val="none"/>
        </w:rPr>
        <w:t>Web admin dashboard (</w:t>
      </w:r>
      <w:r>
        <w:rPr>
          <w:rFonts w:ascii="Consolas" w:hAnsi="Consolas" w:cs="Consolas"/>
          <w:b/>
          <w:i w:val="0"/>
          <w:sz w:val="21"/>
          <w:u w:val="none"/>
        </w:rPr>
        <w:t>app.fivucsas.com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flow; everything else sits under a protected dashboard layout and is gated by role-aware route guards. Table 3.3 summarizes the route map.</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web dashboard routes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w:t>
      </w:r>
      <w:r>
        <w:rPr>
          <w:rFonts w:ascii="Consolas" w:hAnsi="Consolas" w:cs="Consolas"/>
          <w:b/>
          <w:i w:val="0"/>
          <w:sz w:val="21"/>
          <w:u w:val="none"/>
        </w:rPr>
        <w:t>verify.fivucsas.com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v5.3.1).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an admin dashboard and a self-service kiosk. The principal mobile screens are summarized in Table 3.4.</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Android client screens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flow in Figure 3.6.</w:t>
      </w:r>
    </w:p>
    <w:p>
      <w:pPr>
        <w:jc w:val="center"/>
        <w:spacing w:before="120" w:after="0"/>
      </w:pPr>
      <w:r>
        <w:drawing>
          <wp:inline xmlns:a="http://schemas.openxmlformats.org/drawingml/2006/main" xmlns:pic="http://schemas.openxmlformats.org/drawingml/2006/picture">
            <wp:extent cx="5394960" cy="12347620"/>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5394960" cy="123476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enrollment with quality assessment</w:t>
      </w:r>
    </w:p>
    <w:p>
      <w:pPr>
        <w:jc w:val="center"/>
        <w:spacing w:before="120" w:after="0"/>
      </w:pPr>
      <w:r>
        <w:drawing>
          <wp:inline xmlns:a="http://schemas.openxmlformats.org/drawingml/2006/main" xmlns:pic="http://schemas.openxmlformats.org/drawingml/2006/picture">
            <wp:extent cx="5394960" cy="12679064"/>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5394960" cy="1267906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verification with liveness</w:t>
      </w:r>
    </w:p>
    <w:p>
      <w:pPr>
        <w:jc w:val="center"/>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 registration sequence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Table 3.5 summarizes the strategy and its tooling.</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by level</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Chapter 5 reports the full inventory (Table 5.3) together with the counting methodology that produced it.</w:t>
      </w:r>
    </w:p>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(the React dashboard, the hosted-login SPA, the Kotlin Multiplatform mobile and desktop apps, and third-party OIDC integrations)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70 endpoints covering enrollment, 1:1 verification, 1:N search, passive and active (Biometric Puzzle) liveness, quality assessment, voice, NFC/eMRTD passive authentication, and proctoring. The component decomposition is shown in Figure 3.8.</w:t>
      </w:r>
    </w:p>
    <w:p>
      <w:pPr>
        <w:jc w:val="center"/>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V0–V83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Table 3.6 summarizes the caching strategy.</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Redis key usage and TTLs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TTL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That constraint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Table 4.1 summarizes the principal tools.</w:t>
      </w:r>
    </w:p>
    <w:p>
      <w:pPr>
        <w:pStyle w:val="Caption"/>
        <w:jc w:val="center"/>
        <w:spacing w:before="60" w:after="200"/>
      </w:pPr>
      <w:r>
        <w:rPr>
          <w:rFonts w:ascii="Times New Roman" w:hAnsi="Times New Roman" w:cs="Times New Roman"/>
          <w:b/>
          <w:i w:val="0"/>
          <w:sz w:val="20"/>
          <w:u w:val="none"/>
        </w:rPr>
        <w:t>Table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tools and frameworks, with the rationale for each choice</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no separate vector database to operate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(V0–V84)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depends heavily on its choice of data structures,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31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(blink, smile, open mouth, raise eyebrows, turn left, turn right)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9000"/>
        </w:tabs>
      </w:pPr>
      <m:oMath>
        <m:r>
          <w:rPr>
            <w:rFonts w:ascii="Cambria Math" w:hAnsi="Cambria Math"/>
          </w:rPr>
          <m:t xml:space="preserve">EAR = </m:t>
        </m:r>
        <m:f>
          <m:num>
            <m:r>
              <w:rPr>
                <w:rFonts w:ascii="Cambria Math" w:hAnsi="Cambria Math"/>
              </w:rPr>
              <m:t xml:space="preserve">‖p₂ − p₆‖ + ‖p₃ − p₅‖</m:t>
            </m:r>
          </m:num>
          <m:den>
            <m:r>
              <w:rPr>
                <w:rFonts w:ascii="Cambria Math" w:hAnsi="Cambria Math"/>
              </w:rPr>
              <m:t xml:space="preserve">2 ‖p₁ − p₄‖</m:t>
            </m:r>
          </m:den>
        </m:f>
      </m:oMath>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9000"/>
        </w:tabs>
      </w:pPr>
      <m:oMath>
        <m:r>
          <w:rPr>
            <w:rFonts w:ascii="Cambria Math" w:hAnsi="Cambria Math"/>
          </w:rPr>
          <m:t xml:space="preserve">MAR = </m:t>
        </m:r>
        <m:f>
          <m:num>
            <m:r>
              <w:rPr>
                <w:rFonts w:ascii="Cambria Math" w:hAnsi="Cambria Math"/>
              </w:rPr>
              <m:t xml:space="preserve">‖lower_lip − upper_lip‖</m:t>
            </m:r>
          </m:num>
          <m:den>
            <m:r>
              <w:rPr>
                <w:rFonts w:ascii="Cambria Math" w:hAnsi="Cambria Math"/>
              </w:rPr>
              <m:t xml:space="preserve">‖right_corner − left_corner‖</m:t>
            </m:r>
          </m:den>
        </m:f>
      </m:oMath>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Hand-gesture challenges.</w:t>
      </w:r>
      <w:r>
        <w:rPr>
          <w:rFonts w:ascii="Times New Roman" w:hAnsi="Times New Roman" w:cs="Times New Roman"/>
          <w:b w:val="0"/>
          <w:i w:val="0"/>
          <w:sz w:val="24"/>
          <w:u w:val="none"/>
        </w:rPr>
        <w:t xml:space="preserve"> The challenge vocabulary spans two body channels. Alongside the facial actions above, the server can request nine hand-gesture challenges: finger counting, tracing a template shape with the index finger, waving, a palm flip, a finger tap, a pinch, a hand-covers-face "peek-a-boo", finger arithmetic, and a hold-position task. MediaPipe Hands runs on the client and streams 21-point hand-landmark sequences to the server, where </w:t>
      </w:r>
      <w:r>
        <w:rPr>
          <w:rFonts w:ascii="Consolas" w:hAnsi="Consolas" w:cs="Consolas"/>
          <w:b w:val="0"/>
          <w:i w:val="0"/>
          <w:sz w:val="21"/>
          <w:u w:val="none"/>
        </w:rPr>
        <w:t>active_gesture_liveness_manager.py</w:t>
      </w:r>
      <w:r>
        <w:rPr>
          <w:rFonts w:ascii="Times New Roman" w:hAnsi="Times New Roman" w:cs="Times New Roman"/>
          <w:b w:val="0"/>
          <w:i w:val="0"/>
          <w:sz w:val="24"/>
          <w:u w:val="none"/>
        </w:rPr>
        <w:t xml:space="preserve"> re-scores each gesture from the raw landmark geometry (finger-extension ratios for counting, a sign change on the palm-normal proxy for the flip, and dynamic-time-warping distance against a JSON shape-template catalog for tracing). Widening the library across two independent body channels shrinks the chance that an attacker holds a pre-recorded clip matching the exact sequence the server happens to draw.</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(twenty-six in the TypeScript browser port)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(APCER, BPCER, and ACER [35])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9000"/>
        </w:tabs>
      </w:pPr>
      <m:oMath>
        <m:sSub>
          <m:e>
            <m:r>
              <w:rPr>
                <w:rFonts w:ascii="Cambria Math" w:hAnsi="Cambria Math"/>
              </w:rPr>
              <m:t xml:space="preserve">d</m:t>
            </m:r>
          </m:e>
          <m:sub>
            <m:r>
              <w:rPr>
                <w:rFonts w:ascii="Cambria Math" w:hAnsi="Cambria Math"/>
              </w:rPr>
              <m:t xml:space="preserve">cos</m:t>
            </m:r>
          </m:sub>
        </m:sSub>
        <m:r>
          <w:rPr>
            <w:rFonts w:ascii="Cambria Math" w:hAnsi="Cambria Math"/>
          </w:rPr>
          <m:t xml:space="preserve">(A, B) = 1 − </m:t>
        </m:r>
        <m:f>
          <m:num>
            <m:r>
              <w:rPr>
                <w:rFonts w:ascii="Cambria Math" w:hAnsi="Cambria Math"/>
              </w:rPr>
              <m:t xml:space="preserve">A · B</m:t>
            </m:r>
          </m:num>
          <m:den>
            <m:r>
              <w:rPr>
                <w:rFonts w:ascii="Cambria Math" w:hAnsi="Cambria Math"/>
              </w:rPr>
              <m:t xml:space="preserve">‖A‖ ‖B‖</m:t>
            </m:r>
          </m:den>
        </m:f>
      </m:oMath>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This is the same inverted-file idea that underlies GPU ANN systems such as FAISS [49], here available inside the relational store we already operate. (An HNSW index exists on a legacy table and as a commented-out alternative in the operative migration; the production index on </w:t>
      </w:r>
      <w:r>
        <w:rPr>
          <w:rFonts w:ascii="Consolas" w:hAnsi="Consolas" w:cs="Consolas"/>
          <w:b w:val="0"/>
          <w:i w:val="0"/>
          <w:sz w:val="21"/>
          <w:u w:val="none"/>
        </w:rPr>
        <w:t>face_embeddings</w:t>
      </w:r>
      <w:r>
        <w:rPr>
          <w:rFonts w:ascii="Times New Roman" w:hAnsi="Times New Roman" w:cs="Times New Roman"/>
          <w:b w:val="0"/>
          <w:i w:val="0"/>
          <w:sz w:val="24"/>
          <w:u w:val="none"/>
        </w:rPr>
        <w:t xml:space="preserve">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(classical index theory applied to high-dimensional learned features),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(blur, lighting, and face size):</w:t>
      </w:r>
    </w:p>
    <w:p>
      <w:pPr>
        <w:jc w:val="center"/>
        <w:spacing w:before="60" w:after="60"/>
        <w:tabs>
          <w:tab w:val="right" w:pos="9000"/>
        </w:tabs>
      </w:pPr>
      <m:oMath>
        <m:r>
          <w:rPr>
            <w:rFonts w:ascii="Cambria Math" w:hAnsi="Cambria Math"/>
          </w:rPr>
          <m:t xml:space="preserve">Q = 0.4 · blur + 0.3 · lighting + 0.3 · face_size</m:t>
        </m:r>
      </m:oMath>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 slightly stricter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any HS512-tagged token is rejected unless an operator explicitly opens a rollback window.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Consolas" w:hAnsi="Consolas" w:cs="Consolas"/>
          <w:b/>
          <w:i w:val="0"/>
          <w:sz w:val="21"/>
          <w:u w:val="none"/>
        </w:rPr>
        <w:t>amr</w:t>
      </w:r>
      <w:r>
        <w:rPr>
          <w:rFonts w:ascii="Times New Roman" w:hAnsi="Times New Roman" w:cs="Times New Roman"/>
          <w:b w:val="0"/>
          <w:i w:val="0"/>
          <w:sz w:val="24"/>
          <w:u w:val="none"/>
        </w:rPr>
        <w:t xml:space="preserve"> (authentication methods reference) array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so a relying party can see that genuine multi-factor authentication occurred rather than merely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(PKCE is not a substitute for client authentication),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once the counter reaches five wrong guesses,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The latter is deliberate,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This is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(Basic Access Control, secure messaging, and data-group reads),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rather than as ad-hoc boolean flags,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 The full lifecycle appears in Figure 4.4.</w:t>
      </w:r>
    </w:p>
    <w:p>
      <w:pPr>
        <w:jc w:val="center"/>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(document scan, data extraction, face match, liveness check, and so on), with transitions for a passed step, a failed step, a step requiring manual review, and overall completion or rejection, as illustrated in Figure 4.5.</w:t>
      </w:r>
    </w:p>
    <w:p>
      <w:pPr>
        <w:jc w:val="center"/>
        <w:spacing w:before="120" w:after="0"/>
      </w:pPr>
      <w:r>
        <w:drawing>
          <wp:inline xmlns:a="http://schemas.openxmlformats.org/drawingml/2006/main" xmlns:pic="http://schemas.openxmlformats.org/drawingml/2006/picture">
            <wp:extent cx="5394960" cy="12615711"/>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5394960" cy="12615711"/>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or to a rejection that re-prompts capture. The fail-closed multi-image enrollment of Section 4.3.2 is one of this machine's transition rules; Figure 4.6 depicts the complete machine.</w:t>
      </w:r>
    </w:p>
    <w:p>
      <w:pPr>
        <w:jc w:val="center"/>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(pending, active, locked, suspended, and soft-deleted), including the lockout transition after repeated failed logins and the GDPR soft-delete state that the nightly purge job eventually finalizes, shown in Figure 4.7.</w:t>
      </w:r>
    </w:p>
    <w:p>
      <w:pPr>
        <w:jc w:val="center"/>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nine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w:t>
      </w:r>
      <w:r>
        <w:rPr>
          <w:rFonts w:ascii="Consolas" w:hAnsi="Consolas" w:cs="Consolas"/>
          <w:b w:val="0"/>
          <w:i w:val="0"/>
          <w:sz w:val="21"/>
          <w:u w:val="none"/>
        </w:rPr>
        <w:t>UserSettings</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a CI gate, not an assertion.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that it works, and how a graduation committee, an auditor, or a future maintainer can convince themselves of the same.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multi-tenant data isolation,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as with most load-test thresholds,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(service-to-database, service-to-cache, service-to-service)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flows.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Table 5.1 summarizes each level: its scope, its tooling, and its coverage intent.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scope, tooling, and coverage intent by level</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(that one tenant can never read, write, or even detect another tenant's data)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(throwaway Docker containers spun up per test run)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in Table 5.2.</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tooling per module, with role and execution environment</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flows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instead of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1,595 </w:t>
      </w:r>
      <w:r>
        <w:rPr>
          <w:rFonts w:ascii="Consolas" w:hAnsi="Consolas" w:cs="Consolas"/>
          <w:b/>
          <w:i w:val="0"/>
          <w:sz w:val="21"/>
          <w:u w:val="none"/>
        </w:rPr>
        <w:t>@Test</w:t>
      </w:r>
      <w:r>
        <w:rPr>
          <w:rFonts w:ascii="Times New Roman" w:hAnsi="Times New Roman" w:cs="Times New Roman"/>
          <w:b/>
          <w:i w:val="0"/>
          <w:sz w:val="24"/>
          <w:u w:val="none"/>
        </w:rPr>
        <w:t xml:space="preserve"> methods across 179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 xml:space="preserve">22 </w:t>
      </w:r>
      <w:r>
        <w:rPr>
          <w:rFonts w:ascii="Consolas" w:hAnsi="Consolas" w:cs="Consolas"/>
          <w:b/>
          <w:i w:val="0"/>
          <w:sz w:val="21"/>
          <w:u w:val="none"/>
        </w:rPr>
        <w:t>@ParameterizedTest</w:t>
      </w:r>
      <w:r>
        <w:rPr>
          <w:rFonts w:ascii="Times New Roman" w:hAnsi="Times New Roman" w:cs="Times New Roman"/>
          <w:b/>
          <w:i w:val="0"/>
          <w:sz w:val="24"/>
          <w:u w:val="none"/>
        </w:rPr>
        <w:t xml:space="preserve"> methods</w:t>
      </w:r>
      <w:r>
        <w:rPr>
          <w:rFonts w:ascii="Times New Roman" w:hAnsi="Times New Roman" w:cs="Times New Roman"/>
          <w:b w:val="0"/>
          <w:i w:val="0"/>
          <w:sz w:val="24"/>
          <w:u w:val="none"/>
        </w:rPr>
        <w:t xml:space="preserve"> each expand into several executed cases at runtime, so the true executed count exceeds 1,595.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 A full execution of this suite shortly before submission (JDK 21, </w:t>
      </w:r>
      <w:r>
        <w:rPr>
          <w:rFonts w:ascii="Consolas" w:hAnsi="Consolas" w:cs="Consolas"/>
          <w:b w:val="0"/>
          <w:i w:val="0"/>
          <w:sz w:val="21"/>
          <w:u w:val="none"/>
        </w:rPr>
        <w:t>mvn -o test</w:t>
      </w:r>
      <w:r>
        <w:rPr>
          <w:rFonts w:ascii="Times New Roman" w:hAnsi="Times New Roman" w:cs="Times New Roman"/>
          <w:b w:val="0"/>
          <w:i w:val="0"/>
          <w:sz w:val="24"/>
          <w:u w:val="none"/>
        </w:rPr>
        <w:t xml:space="preserve">, 2026-06-07) finished green: </w:t>
      </w:r>
      <w:r>
        <w:rPr>
          <w:rFonts w:ascii="Times New Roman" w:hAnsi="Times New Roman" w:cs="Times New Roman"/>
          <w:b/>
          <w:i w:val="0"/>
          <w:sz w:val="24"/>
          <w:u w:val="none"/>
        </w:rPr>
        <w:t>1,670 tests run, 0 failures, 0 errors, 67 skipped</w:t>
      </w:r>
      <w:r>
        <w:rPr>
          <w:rFonts w:ascii="Times New Roman" w:hAnsi="Times New Roman" w:cs="Times New Roman"/>
          <w:b w:val="0"/>
          <w:i w:val="0"/>
          <w:sz w:val="24"/>
          <w:u w:val="none"/>
        </w:rPr>
        <w:t>. The skipped cases are the Docker-gated Testcontainers integration tests, and the executed count exceeds the authored method count because parameterized tests expand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888 </w:t>
      </w:r>
      <w:r>
        <w:rPr>
          <w:rFonts w:ascii="Consolas" w:hAnsi="Consolas" w:cs="Consolas"/>
          <w:b/>
          <w:i w:val="0"/>
          <w:sz w:val="21"/>
          <w:u w:val="none"/>
        </w:rPr>
        <w:t>def test_</w:t>
      </w:r>
      <w:r>
        <w:rPr>
          <w:rFonts w:ascii="Times New Roman" w:hAnsi="Times New Roman" w:cs="Times New Roman"/>
          <w:b/>
          <w:i w:val="0"/>
          <w:sz w:val="24"/>
          <w:u w:val="none"/>
        </w:rPr>
        <w:t xml:space="preserve">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561 </w:t>
      </w:r>
      <w:r>
        <w:rPr>
          <w:rFonts w:ascii="Consolas" w:hAnsi="Consolas" w:cs="Consolas"/>
          <w:b/>
          <w:i w:val="0"/>
          <w:sz w:val="21"/>
          <w:u w:val="none"/>
        </w:rPr>
        <w:t>@Test</w:t>
      </w:r>
      <w:r>
        <w:rPr>
          <w:rFonts w:ascii="Times New Roman" w:hAnsi="Times New Roman" w:cs="Times New Roman"/>
          <w:b/>
          <w:i w:val="0"/>
          <w:sz w:val="24"/>
          <w:u w:val="none"/>
        </w:rPr>
        <w:t xml:space="preserve"> methods across 64 test files</w:t>
      </w:r>
      <w:r>
        <w:rPr>
          <w:rFonts w:ascii="Times New Roman" w:hAnsi="Times New Roman" w:cs="Times New Roman"/>
          <w:b w:val="0"/>
          <w:i w:val="0"/>
          <w:sz w:val="24"/>
          <w:u w:val="none"/>
        </w:rPr>
        <w:t xml:space="preserve">: 489 in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30 Android instrumented tests, 25 in </w:t>
      </w:r>
      <w:r>
        <w:rPr>
          <w:rFonts w:ascii="Consolas" w:hAnsi="Consolas" w:cs="Consolas"/>
          <w:b w:val="0"/>
          <w:i w:val="0"/>
          <w:sz w:val="21"/>
          <w:u w:val="none"/>
        </w:rPr>
        <w:t>desktopTest</w:t>
      </w:r>
      <w:r>
        <w:rPr>
          <w:rFonts w:ascii="Times New Roman" w:hAnsi="Times New Roman" w:cs="Times New Roman"/>
          <w:b w:val="0"/>
          <w:i w:val="0"/>
          <w:sz w:val="24"/>
          <w:u w:val="none"/>
        </w:rPr>
        <w:t xml:space="preserve">, and 17 Android JVM unit tests. Table 5.3 consolidates the inventory.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Final grep-verified authored automated test inventory per module (confirming the planned inventory of §3.2.4)</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179</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1,595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561</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4,405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those that actually load TensorFlow, DeepFace, and the UniFace MiniFASNet ONNX model,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 Table 5.4 lists representative integration and isolation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integration and isolation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flows,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 xml:space="preserve">336 </w:t>
      </w:r>
      <w:r>
        <w:rPr>
          <w:rFonts w:ascii="Consolas" w:hAnsi="Consolas" w:cs="Consolas"/>
          <w:b/>
          <w:i w:val="0"/>
          <w:sz w:val="21"/>
          <w:u w:val="none"/>
        </w:rPr>
        <w:t>test(...)</w:t>
      </w:r>
      <w:r>
        <w:rPr>
          <w:rFonts w:ascii="Times New Roman" w:hAnsi="Times New Roman" w:cs="Times New Roman"/>
          <w:b/>
          <w:i w:val="0"/>
          <w:sz w:val="24"/>
          <w:u w:val="none"/>
        </w:rPr>
        <w:t xml:space="preserve">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test cases named in Table 5.5 are representative of the authentication and verification flows that the committee will recognize as the product's spine.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end-to-end (Playwright)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 Table 5.6 records them with that caveat.</w:t>
      </w:r>
    </w:p>
    <w:p>
      <w:pPr>
        <w:jc w:val="both"/>
        <w:spacing w:after="120" w:line="360" w:lineRule="auto"/>
        <w:ind w:firstLine="426"/>
      </w:pPr>
      <w:r>
        <w:rPr>
          <w:rFonts w:ascii="Times New Roman" w:hAnsi="Times New Roman" w:cs="Times New Roman"/>
          <w:b w:val="0"/>
          <w:i w:val="0"/>
          <w:sz w:val="24"/>
          <w:u w:val="none"/>
        </w:rPr>
        <w:t>One measured snapshot does exist. During the June 2026 poster evaluation we timed the deployed service from a client: end-to-end 1:1 face verification completed in roughly 410 ms at the 95th percentile (median about 380 ms, P99 about 450 ms), an authentication round-trip in roughly 66 ms, and the JWKS document fetch in roughly 62 ms, all against the production CX43 host (8 vCPU, no GPU). These are spot measurements under light load rather than a sustained k6 campaign, but they sit inside the 200 ms authentication and 500 ms verification targets of Section 2.2 at the percentiles that matter.</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k6 load-test thresholds (NFR targets, not measured production results)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 Table 5.7 records the split.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Implemented (CI-enforced) versus documented-intent security testing</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9000"/>
        </w:tabs>
      </w:pPr>
      <m:oMath>
        <m:r>
          <w:rPr>
            <w:rFonts w:ascii="Cambria Math" w:hAnsi="Cambria Math"/>
          </w:rPr>
          <m:t xml:space="preserve">ACER = </m:t>
        </m:r>
        <m:f>
          <m:num>
            <m:r>
              <w:rPr>
                <w:rFonts w:ascii="Cambria Math" w:hAnsi="Cambria Math"/>
              </w:rPr>
              <m:t xml:space="preserve">APCER + BPCER</m:t>
            </m:r>
          </m:num>
          <m:den>
            <m:r>
              <w:rPr>
                <w:rFonts w:ascii="Cambria Math" w:hAnsi="Cambria Math"/>
              </w:rPr>
              <m:t xml:space="preserve">2</m:t>
            </m:r>
          </m:den>
        </m:f>
      </m:oMath>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26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(a weighted combination of the pretrained MiniFASNet model [16], a flash-response cue, a moiré-pattern cue, and a device-replay cue)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 Table 5.8 lists representative biometric and liveness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biometric and liveness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What Was Actually Measured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276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An internal learned-fuser experiment once produced a "100% accuracy / ACER 0.00%" figure on a 120-video subset, and the number briefly surfaced in early promotional material.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final project poster does not carry it either.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w:t>
      </w:r>
    </w:p>
    <w:p>
      <w:pPr>
        <w:jc w:val="both"/>
        <w:spacing w:after="120" w:line="360" w:lineRule="auto"/>
        <w:ind w:firstLine="426"/>
      </w:pPr>
      <w:r>
        <w:rPr>
          <w:rFonts w:ascii="Times New Roman" w:hAnsi="Times New Roman" w:cs="Times New Roman"/>
          <w:b w:val="0"/>
          <w:i w:val="0"/>
          <w:sz w:val="24"/>
          <w:u w:val="none"/>
        </w:rPr>
        <w:t>The recognition model itself, as opposed to the fused anti-spoofing system, was measured in a controlled benchmark whose headline figures also appear on the project poster. The evaluation enrolled 1,342 face images across 100 identities and scored 12,062 verification pairs over three public benchmarks. On LFW (5,600 pairs) the FaceNet-512 pipeline reached an AUC of 0.9943 with an equal-error rate of 1.93%; at a 0.45 distance threshold the false-accept rate was 0.27% and the genuine-accept rate 95.6%. On CFP-FP (1,378 frontal-to-profile pairs) the AUC was 0.9845, and on AgeDB-30, which pairs faces across a 30-year age gap, 0.9475. These are controlled measurements on public datasets under our own preprocessing: they characterize the discriminative power of the embedding model, not the end-to-end production service with its liveness and quality gates, and we label them accordingly.</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the named Testcontainers ITs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defense-in-depth applied to the test strategy itself, as Table 5.9 traces.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Multi-tenant isolation verification across test levels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4,405 authored automated test cases across 444 test files in five technologies</w:t>
      </w:r>
      <w:r>
        <w:rPr>
          <w:rFonts w:ascii="Times New Roman" w:hAnsi="Times New Roman" w:cs="Times New Roman"/>
          <w:b w:val="0"/>
          <w:i w:val="0"/>
          <w:sz w:val="24"/>
          <w:u w:val="none"/>
        </w:rPr>
        <w:t>: 1,595 JUnit 5 methods (plus 22 parameterized) in the Identity Core API, 1,025 Vitest cases in the web dashboard, 336 Playwright E2E cases, 561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proved essential; that is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should also be judged by whom it serves and what it sets in motion. FIVUCSAS, the Face and Identity Verification Using Cloud-based SaaS platform,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goes beyond "fewer passwords": a verifiable, controllable identity that the user as well as the provider can inspect and act on. This matters because biometric data is uniquely sensitive (it cannot be reset like a password),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that would otherwise be the preserve of large institutions: strong, liveness-protected identity verification.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(the same pattern used by Auth0 Universal Login, Okta, Microsoft Entra, and Türkiye's own e-Devlet)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they are the conditions under which the benefits above are legitimate rather than reckless.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pre-recorded video cannot anticipate the challenge it will be asked to answer.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which the evaluation roadmap in Section 7.3 scopes,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(APCER and BPCER in the ISO/IEC 30107-3 sense) and labels every figure as measured on a specific test set or as a target, never as a universal accuracy claim [35]. The project also declined to publish the unverified "100% accuracy" fuser figure pending a reproducibility review (see Section 5.8).</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(MTCNN face detection, a FaceNet-style 512-dimensional embedding with cosine-similarity matching, MediaPipe's 478-point face landmarker on the client, and approximate nearest-neighbour search over those embeddings in PostgreSQL via pgvector) into a coherent, multi-tenant production pipeline rather than an isolated notebook experiment [8,10,11,12]. The engineering decisions that made this work are documented design knowledge that other researchers and student teams can reuse and critique: performing the authentication decision on the server because the browser is untrusted, treating client-side facial geometry as a log-only signal, and modeling authentication and verification as explicit finite-state machines whose illegal transitions simply do not exist in code. That transferable design record, as much as any single algorithm, is the project's scientific yield.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(the ten canonical login factors plus the two cross-device additions),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runs in production rather than only in a build. To be clear about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does exist: a running, multi-tenant, standards-based platform.</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pushed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(precisely the public- facing services named in the problem statement),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(encrypting stored templates, requiring explicit per-tenant biometric consent, isolating tenants, and giving every user export and deletion controls), it advanced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is a pattern any SaaS project can adopt: application-layer tenant context re-bound from the verified token, persistence-layer filtering, search-layer scoping, and CI gates that assert the isolation tests actually ran.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(Kubernetes orchestration, formal presentation-attack-detection certification, and model retraining pipelines)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(electronic passports and Türkiye's electronic national identity card)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(printed photos, replayed videos, masks, screen replays)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(e-government, banking, healthcare, transport)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84 Flyway migrations [9] (the V0–V84 range, with V13 unused),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the unpredictability of the server-verified sequence is what defeats static and replayed media.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the hardest SaaS guarantee,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just as important,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(JUnit 5, Vitest, Playwright, the Kotlin/JUnit suite, and pytest [52]),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with active liveness, vector face search, strict tenant isolation, and a developer-grade OIDC integration story can be built and operated end-to-end by a small team on commodity, CPU-only infrastructure.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this section names the cost of each choice alongside its benefit. This section weighs the principal methods we adopted.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(a mature JVM security ecosystem on one side, the Python ML stack on the other)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relational identity data and biometric vectors alike,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(Web NFC and WebAuthn cross-origin restrictions, Safari ITP, and third-party-cookie deprecation)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84-step auditable migration history extend the same discipline to operations.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this is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(a 12.3 MB YOLOv8n) was trained on a limited corpus and</w:t>
      </w:r>
    </w:p>
    <w:p>
      <w:pPr>
        <w:jc w:val="both"/>
        <w:spacing w:after="120" w:line="360" w:lineRule="auto"/>
        <w:ind w:firstLine="426"/>
      </w:pPr>
      <w:r>
        <w:rPr>
          <w:rFonts w:ascii="Times New Roman" w:hAnsi="Times New Roman" w:cs="Times New Roman"/>
          <w:b w:val="0"/>
          <w:i w:val="0"/>
          <w:sz w:val="24"/>
          <w:u w:val="none"/>
        </w:rPr>
        <w:t>generalizes weakly beyond the Turkish ID and Marmara card types it was tuned for.</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whether a GPU node or a managed inference endpoint,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in-browser YOLOv8n card-detection model should likewise be retrained on a broader corpus of Turkish ID and passport imagery to improve generalization across document types.</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declared in the enum but not implemented,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as well as the architectural one, the platform needs a usage-metering and billing subsystem (per-tenant rate plans, verification and enrollment quotas, invoicing, and a payment integration)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the production-grade destination this thesis set out toward.</w:t>
      </w:r>
    </w:p>
    <w:p>
      <w:pPr>
        <w:pStyle w:val="ListParagraph"/>
        <w:pageBreakBefore/>
        <w:spacing w:after="120" w:before="240"/>
        <w:ind w:left="425" w:hanging="425"/>
        <w:jc w:val="left"/>
        <w:outlineLvl w:val="0"/>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Verizon, 2024 Data Breach Investigations Report (DBIR),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Identity Theft Resource Center, 2023 Annual Data Breach Report,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Broadcom (VMware Tanzu), Spring Boot Reference Documentation, 2025,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Ramírez, S., FastAPI Documentation, 2025,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Meta Open Source, React Documentation, 2025,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JetBrains, Kotlin Multiplatform Documentation, 2025,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PostgreSQL Global Development Group, PostgreSQL 17 Documentation, 2025,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pgvector Contributors, pgvector: Open-source Vector Similarity Search for PostgreSQL, 2025,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Redgate, Flyway Database Migrations Documentation, 2025,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Zhang, K., Z. Zhang, Z. Li and Y. Qiao, "Joint Face Detection and Alignment Using Multi-task Cascaded Convolutional Networks", IEEE Signal Processing Letters,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Schroff, F., D. Kalenichenko and J. Philbin, "FaceNet: A Unified Embedding for Face Recognition and Clustering", Proceedings of the IEEE Conference on Computer Vision and Pattern Recognition (CVPR),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Serengil, S. I. and A. Ozpinar, DeepFace: A Lightweight Face Recognition and Facial Attribute Analysis Framework for Python, 2024,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Serengil, S. I. and A. Ozpinar, "LightFace: A Hybrid Deep Face Recognition Framework", Proceedings of the Innovations in Intelligent Systems and Applications Conference (ASYU),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Google, MediaPipe Face Landmarker, 2025,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Soukupová, T. and J. Čech, "Real-Time Eye Blink Detection Using Facial Landmarks", Proceedings of the 21st Computer Vision Winter Workshop,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Minivision AI, Silent-Face-Anti-Spoofing (MiniFASNet), 2020,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Jocher, G., A. Chaurasia and J. Qiu, Ultralytics YOLOv8, 2023,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International Civil Aviation Organization, Doc 9303: Machine Readable Travel Documents,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Docker Inc., Docker Documentation, 2025,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Docker Inc., Docker Compose Documentation, 2025,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Traefik Labs, Traefik Proxy Documentation, 2025,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Redis Ltd., Redis Documentation, 2025,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Bucket4j Contributors, Bucket4j: Java Rate-Limiting Library Based on the Token-Bucket Algorithm, 2025,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Jones, M., J. Bradley and N. Sakimura, RFC 7519: JSON Web Token (JWT),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Provos, N. and D. Mazières, "A Future-Adaptable Password Scheme", Proceedings of the USENIX Annual Technical Conference,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Hardt, D., RFC 6749: The OAuth 2.0 Authorization Framework,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Sakimura, N., J. Bradley, M. Jones, B. de Medeiros and C. Mortimore, OpenID Connect Core 1.0,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Sakimura, N., J. Bradley and N. Agarwal, RFC 7636: Proof Key for Code Exchange by OAuth Public Clients,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World Wide Web Consortium (W3C), Web Authentication: An API for Accessing Public Key Credentials (WebAuthn) Level 2,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Grafana Labs, k6: Load Testing for Engineering Teams, 2025,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Cockburn, A., Hexagonal Architecture (Ports and Adapters),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Richardson, C., Microservices Patterns: With Examples in Java,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Newman, S., Building Microservices: Designing Fine-Grained Systems,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Evans, E., Domain-Driven Design: Tackling Complexity in the Heart of Software,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ISO/IEC 30107-3:2017, Information Technology — Biometric Presentation Attack Detection — Part 3: Testing and Reporting,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OWASP Foundation, OWASP Top 10:2021, The Ten Most Critical Web Application Security Risks,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Republic of Türkiye, Personal Data Protection Law No. 6698 (KVKK),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European Parliament and Council of the European Union, Regulation (EU) 2016/679 (General Data Protection Regulation),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Taigman, Y., M. Yang, M. Ranzato and L. Wolf, "DeepFace: Closing the Gap to Human-Level Performance in Face Verification", Proceedings of the IEEE Conference on Computer Vision and Pattern Recognition (CVPR),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Deng, J., J. Guo, N. Xue and S. Zafeiriou, "ArcFace: Additive Angular Margin Loss for Deep Face Recognition", Proceedings of the IEEE/CVF Conference on Computer Vision and Pattern Recognition (CVPR),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Kim, M., A. K. Jain and X. Liu, "AdaFace: Quality Adaptive Margin for Face Recognition", Proceedings of the IEEE/CVF Conference on Computer Vision and Pattern Recognition (CVPR),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Chen, S., Y. Liu, X. Gao and Z. Han, "MobileFaceNets: Efficient CNNs for Accurate Real-Time Face Verification on Mobile Devices", arXiv preprint arXiv:1804.06655,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Koch, G., R. Zemel and R. Salakhutdinov, "Siamese Neural Networks for One-shot Image Recognition", Proceedings of the ICML Deep Learning Workshop,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Parkhi, O. M., A. Vedaldi and A. Zisserman, "Deep Face Recognition", Proceedings of the British Machine Vision Conference (BMVC),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Bazarevsky, V., Y. Kartynnik, A. Vakunov, K. Raveendran and M. Grundmann, "BlazeFace: Sub-millisecond Neural Face Detection on Mobile GPUs", arXiv preprint arXiv:1907.05047,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Kottakota, S. S. and A. Gnaneswar, "Secured Artificial-Intelligence-Based Face Anti-Spoofing Detection Model via Serverless Architecture and SaaS-Based Cloud Platform", Preprints,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Bradski, G., "The OpenCV Library", Dr. Dobb's Journal of Software Tools,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Fowler, M. and J. Lewis, Microservices: A Definition of This New Architectural Term,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Johnson, J., M. Douze and H. Jégou, "Billion-scale Similarity Search with GPUs", IEEE Transactions on Big Data,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Challapalli, S. S. A., B. Kandukuri, H. Bandireddi and J. Pudi, "Profile Face Recognition and Classification Using Multi-Task Cascaded Convolutional Networks", Journal of Computer Allied Intelligence,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AtomicJar, Testcontainers: Throwaway Containers for Integration Tests, 2025,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Microsoft, Playwright: Reliable End-to-End Testing for Modern Web Apps, 2025, https://playwright.dev/, Date accessed: June 2026.</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A: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spacing w:before="60" w:after="200"/>
      </w:pPr>
      <w:r>
        <w:rPr>
          <w:rFonts w:ascii="Times New Roman" w:hAnsi="Times New Roman" w:cs="Times New Roman"/>
          <w:b/>
          <w:i w:val="0"/>
          <w:sz w:val="20"/>
          <w:u w:val="none"/>
        </w:rPr>
        <w:t>Table A.</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Flyway migration catalog of the Identity Core API schema (V0–V84)</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 settings tenant id</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B: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70 endpoints.</w:t>
      </w:r>
    </w:p>
    <w:p>
      <w:pPr>
        <w:pStyle w:val="ListParagraph"/>
        <w:spacing w:after="0" w:line="360" w:lineRule="auto"/>
        <w:ind w:left="765" w:hanging="425"/>
        <w:jc w:val="left"/>
        <w:outlineLvl w:val="1"/>
      </w:pPr>
      <w:r>
        <w:rPr>
          <w:rFonts w:ascii="Times New Roman" w:hAnsi="Times New Roman" w:cs="Times New Roman"/>
          <w:b/>
          <w:i w:val="0"/>
          <w:sz w:val="24"/>
          <w:u w:val="none"/>
        </w:rPr>
        <w:t>B.1 Identity Core API: principal controllers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Identity Core API controllers and representative endpoints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pPr>
      <w:r>
        <w:rPr>
          <w:rFonts w:ascii="Times New Roman" w:hAnsi="Times New Roman" w:cs="Times New Roman"/>
          <w:b/>
          <w:i w:val="0"/>
          <w:sz w:val="24"/>
          <w:u w:val="none"/>
        </w:rPr>
        <w:t>B.2 Biometric Processor: route categories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 Processor route categories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pPr>
      <w:r>
        <w:rPr>
          <w:rFonts w:ascii="Times New Roman" w:hAnsi="Times New Roman" w:cs="Times New Roman"/>
          <w:b/>
          <w:i w:val="0"/>
          <w:sz w:val="28"/>
          <w:u w:val="none"/>
        </w:rPr>
        <w:t>APPENDIX C: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pPr>
      <w:r>
        <w:rPr>
          <w:rFonts w:ascii="Times New Roman" w:hAnsi="Times New Roman" w:cs="Times New Roman"/>
          <w:b/>
          <w:i w:val="0"/>
          <w:sz w:val="24"/>
          <w:u w:val="none"/>
        </w:rPr>
        <w:t>C.2 Containerized services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service inventory</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C.3 Public endpoints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subdomains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4F81BD" w:themeColor="accent1"/>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Birol Gençyılmaz</dc:creator>
  <cp:lastModifiedBy>user</cp:lastModifiedBy>
  <cp:revision>3</cp:revision>
  <dcterms:created xsi:type="dcterms:W3CDTF">2026-05-18T11:06:00Z</dcterms:created>
  <dcterms:modified xsi:type="dcterms:W3CDTF">2026-05-18T11:07:00Z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