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line="240"/>
        <w:jc w:val="both"/>
      </w:pPr>
      <w:r>
        <w:rPr>
          <w:rFonts w:ascii="Times New Roman" w:cs="Times New Roman" w:eastAsia="Times New Roman" w:hAnsi="Times New Roman"/>
          <w:sz w:val="20"/>
          <w:szCs w:val="20"/>
        </w:rPr>
        <w:t xml:space="preserve"/>
      </w:r>
    </w:p>
    <w:p>
      <w:pPr>
        <w:spacing w:after="400" w:before="0" w:line="240"/>
        <w:jc w:val="center"/>
      </w:pPr>
      <w:r>
        <w:rPr>
          <w:rFonts w:ascii="Times New Roman" w:cs="Times New Roman" w:eastAsia="Times New Roman" w:hAnsi="Times New Roman"/>
          <w:b/>
          <w:bCs/>
          <w:sz w:val="28"/>
          <w:szCs w:val="28"/>
        </w:rPr>
        <w:t xml:space="preserve">FIVUCSAS: A Multi-Modal Challenge-Response Framework with Cross-Modal Binding for Presentation Attack Detection in Facial Verification Systems</w:t>
      </w:r>
    </w:p>
    <w:p>
      <w:pPr>
        <w:spacing w:after="300" w:before="0" w:line="240"/>
        <w:jc w:val="both"/>
      </w:pPr>
      <w:r>
        <w:rPr>
          <w:rFonts w:ascii="Times New Roman" w:cs="Times New Roman" w:eastAsia="Times New Roman" w:hAnsi="Times New Roman"/>
          <w:sz w:val="20"/>
          <w:szCs w:val="20"/>
        </w:rPr>
        <w:t xml:space="preserve"/>
      </w:r>
    </w:p>
    <w:p>
      <w:pPr>
        <w:spacing w:after="80" w:before="0" w:line="240"/>
        <w:jc w:val="center"/>
      </w:pPr>
      <w:r>
        <w:rPr>
          <w:rFonts w:ascii="Times New Roman" w:cs="Times New Roman" w:eastAsia="Times New Roman" w:hAnsi="Times New Roman"/>
          <w:sz w:val="22"/>
          <w:szCs w:val="22"/>
        </w:rPr>
        <w:t xml:space="preserve">FIVUCSAS Research Team</w:t>
      </w:r>
    </w:p>
    <w:p>
      <w:pPr>
        <w:spacing w:after="400" w:before="0" w:line="240"/>
        <w:jc w:val="center"/>
      </w:pPr>
      <w:r>
        <w:rPr>
          <w:rFonts w:ascii="Times New Roman" w:cs="Times New Roman" w:eastAsia="Times New Roman" w:hAnsi="Times New Roman"/>
          <w:i/>
          <w:iCs/>
          <w:sz w:val="20"/>
          <w:szCs w:val="20"/>
        </w:rPr>
        <w:t xml:space="preserve">Rollingcat Software, Marmara University CSE</w:t>
      </w:r>
    </w:p>
    <w:p>
      <w:pPr>
        <w:spacing w:after="800" w:before="0" w:line="240"/>
        <w:jc w:val="center"/>
      </w:pPr>
      <w:r>
        <w:rPr>
          <w:rFonts w:ascii="Times New Roman" w:cs="Times New Roman" w:eastAsia="Times New Roman" w:hAnsi="Times New Roman"/>
          <w:sz w:val="20"/>
          <w:szCs w:val="20"/>
        </w:rPr>
        <w:t xml:space="preserve">May 2026</w:t>
      </w:r>
    </w:p>
    <w:p>
      <w:pPr>
        <w:spacing w:after="120" w:before="0" w:line="240"/>
        <w:jc w:val="center"/>
      </w:pPr>
      <w:r>
        <w:rPr>
          <w:rFonts w:ascii="Times New Roman" w:cs="Times New Roman" w:eastAsia="Times New Roman" w:hAnsi="Times New Roman"/>
          <w:i/>
          <w:iCs/>
          <w:sz w:val="18"/>
          <w:szCs w:val="18"/>
        </w:rPr>
        <w:t xml:space="preserve">Keywords: Presentation Attack Detection, Cross-Modal Binding, Cognitive Liveness, Hand Gesture Recognition, Dynamic Time Warping, Face Anti-Spoofing, pgvector</w:t>
      </w:r>
    </w:p>
    <w:p>
      <w:pPr>
        <w:sectPr>
          <w:pgSz w:w="12240" w:h="15840"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24"/>
          <w:szCs w:val="24"/>
        </w:rPr>
        <w:t xml:space="preserve">Abstract</w:t>
      </w:r>
    </w:p>
    <w:p>
      <w:pPr>
        <w:spacing w:after="120" w:before="0" w:line="240"/>
        <w:jc w:val="both"/>
      </w:pPr>
      <w:r>
        <w:rPr>
          <w:rFonts w:ascii="Times New Roman" w:cs="Times New Roman" w:eastAsia="Times New Roman" w:hAnsi="Times New Roman"/>
          <w:sz w:val="20"/>
          <w:szCs w:val="20"/>
        </w:rPr>
        <w:t xml:space="preserve">We present FIVUCSAS, a facial verification pipeline integrating a multi-modal Presentation Attack Detection (PAD) framework that combines passive texture/frequency analysis with a dual-modality active challenge system spanning facial and hand gestures. Our primary contributions are: (1) a cross-modal spatial binding mechanism that geometrically ties face and hand landmarks into a single coherent 3D scene, preventing confederate split-screen attacks; (2) a four-category hand gesture challenge subsystem (finger counting, arithmetic cognitive proofs, z-validated finger touch, DTW-verified shape tracing); and (3) a quality-aware weighted fusion function combining six passive channels with dual-modality active scores. We evaluate on OULU-NPU (Protocols 1-4), Replay-Attack, and an internal Screen Replay corpus, reporting ACER of 2.8% on OULU-NPU Protocol 1. Ablation studies demonstrate that cross-modal binding reduces SAR against confederate attacks from 73.2% to 4.6%. We explicitly scope the threat model and acknowledge residual vulnerabilities to 3D silicone masks, real-time deepfake synthesis, and client-side frame injection.</w:t>
      </w:r>
    </w:p>
    <w:p>
      <w:pPr>
        <w:pStyle w:val="Heading1"/>
        <w:spacing w:after="120" w:before="240"/>
      </w:pPr>
      <w:r>
        <w:rPr>
          <w:rFonts w:ascii="Times New Roman" w:cs="Times New Roman" w:eastAsia="Times New Roman" w:hAnsi="Times New Roman"/>
          <w:b/>
          <w:bCs/>
          <w:sz w:val="24"/>
          <w:szCs w:val="24"/>
        </w:rPr>
        <w:t xml:space="preserve">1. Introduction</w:t>
      </w:r>
    </w:p>
    <w:p>
      <w:pPr>
        <w:pStyle w:val="Heading2"/>
        <w:spacing w:after="100" w:before="200"/>
      </w:pPr>
      <w:r>
        <w:rPr>
          <w:rFonts w:ascii="Times New Roman" w:cs="Times New Roman" w:eastAsia="Times New Roman" w:hAnsi="Times New Roman"/>
          <w:b/>
          <w:bCs/>
          <w:sz w:val="22"/>
          <w:szCs w:val="22"/>
        </w:rPr>
        <w:t xml:space="preserve">1.1 Background</w:t>
      </w:r>
    </w:p>
    <w:p>
      <w:pPr>
        <w:spacing w:after="120" w:before="0" w:line="240"/>
        <w:jc w:val="both"/>
      </w:pPr>
      <w:r>
        <w:rPr>
          <w:rFonts w:ascii="Times New Roman" w:cs="Times New Roman" w:eastAsia="Times New Roman" w:hAnsi="Times New Roman"/>
          <w:sz w:val="20"/>
          <w:szCs w:val="20"/>
        </w:rPr>
        <w:t xml:space="preserve">Facial verification underpins remote identity proofing in financial services (KYC/AML), examination proctoring, and access control. High-resolution displays, printed photographs, and deepfakes threaten the assumption that biometric samples originate from a live individual. Active Liveness approaches prompting facial gestures provide necessary but insufficient defense: screen replay naturally satisfies EAR/MAR thresholds. Passive methods strengthen defense but remain vulnerable to high-quality OLED replay.</w:t>
      </w:r>
    </w:p>
    <w:p>
      <w:pPr>
        <w:pStyle w:val="Heading2"/>
        <w:spacing w:after="100" w:before="200"/>
      </w:pPr>
      <w:r>
        <w:rPr>
          <w:rFonts w:ascii="Times New Roman" w:cs="Times New Roman" w:eastAsia="Times New Roman" w:hAnsi="Times New Roman"/>
          <w:b/>
          <w:bCs/>
          <w:sz w:val="22"/>
          <w:szCs w:val="22"/>
        </w:rPr>
        <w:t xml:space="preserve">1.2 Threat Model and Scope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600"/>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PAI Species</w:t>
            </w:r>
          </w:p>
        </w:tc>
        <w:tc>
          <w:tcPr>
            <w:tcW w:type="dxa" w:w="4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Description</w:t>
            </w:r>
          </w:p>
        </w:tc>
        <w:tc>
          <w:tcPr>
            <w:tcW w:type="dxa" w:w="1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In Scope</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Screen Replay (SR)</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Pre-recorded video on LCD/OLED</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Yes</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Photo Print (PP)</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High-resolution printed photo</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Yes</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Confederate Split-Screen</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Tablet face + attacker hands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Yes</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Digital Injection</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Virtual camera / rooted device</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Partial</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3D Silicone Mask</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Custom prosthetic mask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No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Real-Time Deepfake</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Live neural face swap</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No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Adversarial Perturbation</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Gradient attacks on classifier</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No</w:t>
            </w:r>
          </w:p>
        </w:tc>
      </w:tr>
    </w:tbl>
    <w:p>
      <w:pPr>
        <w:spacing w:after="80" w:before="0" w:line="240"/>
        <w:jc w:val="both"/>
      </w:pPr>
      <w:r>
        <w:rPr>
          <w:rFonts w:ascii="Times New Roman" w:cs="Times New Roman" w:eastAsia="Times New Roman" w:hAnsi="Times New Roman"/>
          <w:sz w:val="20"/>
          <w:szCs w:val="20"/>
        </w:rPr>
        <w:t xml:space="preserve"/>
      </w:r>
    </w:p>
    <w:p>
      <w:pPr>
        <w:spacing w:after="120" w:before="0" w:line="240"/>
        <w:jc w:val="both"/>
      </w:pPr>
      <w:r>
        <w:rPr>
          <w:rFonts w:ascii="Times New Roman" w:cs="Times New Roman" w:eastAsia="Times New Roman" w:hAnsi="Times New Roman"/>
          <w:sz w:val="20"/>
          <w:szCs w:val="20"/>
        </w:rPr>
        <w:t xml:space="preserve">This work does not claim to defeat 3D masks (requiring IR/ToF hardware), real-time deepfakes with feedback loops (requiring temporal inconsistency analysis), or adversarial ML attacks (requiring adversarial training and input certification).</w:t>
      </w:r>
    </w:p>
    <w:p>
      <w:pPr>
        <w:pStyle w:val="Heading2"/>
        <w:spacing w:after="100" w:before="200"/>
      </w:pPr>
      <w:r>
        <w:rPr>
          <w:rFonts w:ascii="Times New Roman" w:cs="Times New Roman" w:eastAsia="Times New Roman" w:hAnsi="Times New Roman"/>
          <w:b/>
          <w:bCs/>
          <w:sz w:val="22"/>
          <w:szCs w:val="22"/>
        </w:rPr>
        <w:t xml:space="preserve">1.3 Contributions</w:t>
      </w:r>
    </w:p>
    <w:p>
      <w:pPr>
        <w:spacing w:after="120" w:before="0" w:line="24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Cross-modal spatial binding</w:t>
      </w:r>
      <w:r>
        <w:rPr>
          <w:rFonts w:ascii="Times New Roman" w:cs="Times New Roman" w:eastAsia="Times New Roman" w:hAnsi="Times New Roman"/>
          <w:sz w:val="20"/>
          <w:szCs w:val="20"/>
        </w:rPr>
        <w:t xml:space="preserve"> — geometric consistency enforcing face+hand co-location, defeating confederate split-screen attacks (Section 4.2).</w:t>
      </w:r>
    </w:p>
    <w:p>
      <w:pPr>
        <w:spacing w:after="120" w:before="0" w:line="24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Four-category hand gesture challenges</w:t>
      </w:r>
      <w:r>
        <w:rPr>
          <w:rFonts w:ascii="Times New Roman" w:cs="Times New Roman" w:eastAsia="Times New Roman" w:hAnsi="Times New Roman"/>
          <w:sz w:val="20"/>
          <w:szCs w:val="20"/>
        </w:rPr>
        <w:t xml:space="preserve"> — finger counting, arithmetic cognitive proofs, z-validated finger touch, DTW-verified shape tracing (Sections 3.4-3.8).</w:t>
      </w:r>
    </w:p>
    <w:p>
      <w:pPr>
        <w:spacing w:after="120" w:before="0" w:line="24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Quality-aware weighted fusion</w:t>
      </w:r>
      <w:r>
        <w:rPr>
          <w:rFonts w:ascii="Times New Roman" w:cs="Times New Roman" w:eastAsia="Times New Roman" w:hAnsi="Times New Roman"/>
          <w:sz w:val="20"/>
          <w:szCs w:val="20"/>
        </w:rPr>
        <w:t xml:space="preserve"> with formally defined quality function combining 6 passive channels + dual-modality active scores (Section 5).</w:t>
      </w:r>
    </w:p>
    <w:p>
      <w:pPr>
        <w:spacing w:after="120" w:before="0" w:line="24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Empirical evaluation</w:t>
      </w:r>
      <w:r>
        <w:rPr>
          <w:rFonts w:ascii="Times New Roman" w:cs="Times New Roman" w:eastAsia="Times New Roman" w:hAnsi="Times New Roman"/>
          <w:sz w:val="20"/>
          <w:szCs w:val="20"/>
        </w:rPr>
        <w:t xml:space="preserve"> on OULU-NPU, Replay-Attack, and internal corpora with per-channel ablation (Section 6).</w:t>
      </w:r>
    </w:p>
    <w:p>
      <w:pPr>
        <w:spacing w:after="120" w:before="0" w:line="24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b/>
          <w:bCs/>
          <w:sz w:val="20"/>
          <w:szCs w:val="20"/>
        </w:rPr>
        <w:t xml:space="preserve">Hexagonal-architecture pipeline</w:t>
      </w:r>
      <w:r>
        <w:rPr>
          <w:rFonts w:ascii="Times New Roman" w:cs="Times New Roman" w:eastAsia="Times New Roman" w:hAnsi="Times New Roman"/>
          <w:sz w:val="20"/>
          <w:szCs w:val="20"/>
        </w:rPr>
        <w:t xml:space="preserve"> with pgvector HNSW-indexed embedding storage (Section 3.1-3.3).</w:t>
      </w:r>
    </w:p>
    <w:p>
      <w:pPr>
        <w:pStyle w:val="Heading1"/>
        <w:spacing w:after="120" w:before="240"/>
      </w:pPr>
      <w:r>
        <w:rPr>
          <w:rFonts w:ascii="Times New Roman" w:cs="Times New Roman" w:eastAsia="Times New Roman" w:hAnsi="Times New Roman"/>
          <w:b/>
          <w:bCs/>
          <w:sz w:val="24"/>
          <w:szCs w:val="24"/>
        </w:rPr>
        <w:t xml:space="preserve">2. Related Work</w:t>
      </w:r>
    </w:p>
    <w:p>
      <w:pPr>
        <w:pStyle w:val="Heading2"/>
        <w:spacing w:after="100" w:before="200"/>
      </w:pPr>
      <w:r>
        <w:rPr>
          <w:rFonts w:ascii="Times New Roman" w:cs="Times New Roman" w:eastAsia="Times New Roman" w:hAnsi="Times New Roman"/>
          <w:b/>
          <w:bCs/>
          <w:sz w:val="22"/>
          <w:szCs w:val="22"/>
        </w:rPr>
        <w:t xml:space="preserve">2.1 Passive PAD</w:t>
      </w:r>
    </w:p>
    <w:p>
      <w:pPr>
        <w:spacing w:after="120" w:before="0" w:line="240"/>
        <w:jc w:val="both"/>
      </w:pPr>
      <w:r>
        <w:rPr>
          <w:rFonts w:ascii="Times New Roman" w:cs="Times New Roman" w:eastAsia="Times New Roman" w:hAnsi="Times New Roman"/>
          <w:sz w:val="20"/>
          <w:szCs w:val="20"/>
        </w:rPr>
        <w:t xml:space="preserve">Boulkenafet et al. [3] demonstrated LBP histogram variance as a discriminator (EER 2.9% on CASIA-FASD). Chingovska et al. [13] extended with LPQ/BSIF (HTER 6.1% on Replay-Attack). Li et al. [15] exploited Moiré patterns via power spectral density. Yu et al. [4] proposed CDCN (ACER 1.0% on OULU-NPU P1). MiniFASNet [5] achieves ACER 1.8% at reduced cost. George et al. [19] (FaceBagNet) demonstrated patch-based ensembles (ACER 2.2% on P4). Yu et al. [20] (TPAMI 2023) surveys the evolution from handcrafted to deep PAD.</w:t>
      </w:r>
    </w:p>
    <w:p>
      <w:pPr>
        <w:pStyle w:val="Heading2"/>
        <w:spacing w:after="100" w:before="200"/>
      </w:pPr>
      <w:r>
        <w:rPr>
          <w:rFonts w:ascii="Times New Roman" w:cs="Times New Roman" w:eastAsia="Times New Roman" w:hAnsi="Times New Roman"/>
          <w:b/>
          <w:bCs/>
          <w:sz w:val="22"/>
          <w:szCs w:val="22"/>
        </w:rPr>
        <w:t xml:space="preserve">2.2 Active Liveness &amp; Hand Gestures</w:t>
      </w:r>
    </w:p>
    <w:p>
      <w:pPr>
        <w:spacing w:after="120" w:before="0" w:line="240"/>
        <w:jc w:val="both"/>
      </w:pPr>
      <w:r>
        <w:rPr>
          <w:rFonts w:ascii="Times New Roman" w:cs="Times New Roman" w:eastAsia="Times New Roman" w:hAnsi="Times New Roman"/>
          <w:sz w:val="20"/>
          <w:szCs w:val="20"/>
        </w:rPr>
        <w:t xml:space="preserve">Soukupova/Cech [6] formalized EAR blink detection. Tang et al. [21] proposed randomized multi-challenge sequences. Kowalski et al. [22] demonstrated finger counting challenges (94% acceptance, 8% SAR). Chen et al. [23] proposed sign-language gestures for inclusive liveness. Tirunagari et al. [24] used hand motion signatures.</w:t>
      </w:r>
    </w:p>
    <w:p>
      <w:pPr>
        <w:pStyle w:val="Heading2"/>
        <w:spacing w:after="100" w:before="200"/>
      </w:pPr>
      <w:r>
        <w:rPr>
          <w:rFonts w:ascii="Times New Roman" w:cs="Times New Roman" w:eastAsia="Times New Roman" w:hAnsi="Times New Roman"/>
          <w:b/>
          <w:bCs/>
          <w:sz w:val="22"/>
          <w:szCs w:val="22"/>
        </w:rPr>
        <w:t xml:space="preserve">2.3 Cross-Modal Consistency</w:t>
      </w:r>
    </w:p>
    <w:p>
      <w:pPr>
        <w:spacing w:after="120" w:before="0" w:line="240"/>
        <w:jc w:val="both"/>
      </w:pPr>
      <w:r>
        <w:rPr>
          <w:rFonts w:ascii="Times New Roman" w:cs="Times New Roman" w:eastAsia="Times New Roman" w:hAnsi="Times New Roman"/>
          <w:sz w:val="20"/>
          <w:szCs w:val="20"/>
        </w:rPr>
        <w:t xml:space="preserve">Li et al. [25] demonstrated audio-visual lip-sync as liveness signal (96.3% accuracy). Zhang et al. [26] proposed body-face geometric consistency. To our knowledge, no prior work formalizes geometric binding between facial and hand landmarks for the confederate split-screen threat model.</w:t>
      </w:r>
    </w:p>
    <w:p>
      <w:pPr>
        <w:pStyle w:val="Heading1"/>
        <w:spacing w:after="120" w:before="240"/>
      </w:pPr>
      <w:r>
        <w:rPr>
          <w:rFonts w:ascii="Times New Roman" w:cs="Times New Roman" w:eastAsia="Times New Roman" w:hAnsi="Times New Roman"/>
          <w:b/>
          <w:bCs/>
          <w:sz w:val="24"/>
          <w:szCs w:val="24"/>
        </w:rPr>
        <w:t xml:space="preserve">3. System Architecture</w:t>
      </w:r>
    </w:p>
    <w:p>
      <w:pPr>
        <w:pStyle w:val="Heading2"/>
        <w:spacing w:after="100" w:before="200"/>
      </w:pPr>
      <w:r>
        <w:rPr>
          <w:rFonts w:ascii="Times New Roman" w:cs="Times New Roman" w:eastAsia="Times New Roman" w:hAnsi="Times New Roman"/>
          <w:b/>
          <w:bCs/>
          <w:sz w:val="22"/>
          <w:szCs w:val="22"/>
        </w:rPr>
        <w:t xml:space="preserve">3.1 Hexagonal Architecture</w:t>
      </w:r>
    </w:p>
    <w:p>
      <w:pPr>
        <w:spacing w:after="120" w:before="0" w:line="240"/>
        <w:jc w:val="both"/>
      </w:pPr>
      <w:r>
        <w:rPr>
          <w:rFonts w:ascii="Times New Roman" w:cs="Times New Roman" w:eastAsia="Times New Roman" w:hAnsi="Times New Roman"/>
          <w:sz w:val="20"/>
          <w:szCs w:val="20"/>
        </w:rPr>
        <w:t xml:space="preserve">Ports &amp; Adapters pattern (Cockburn [27]) separating domain logic from infrastructure. Motivated by rapid ML backend evolution requiring stable business rules. 23 Protocol interfaces (driving: IEnrollFace, IVerifyFace, ICheckLiveness; driven: IFaceDetector, ILivenessDetector, IEmbeddingRepository, IGestureValidator). Adapter swap requires only environment variable change.</w:t>
      </w:r>
    </w:p>
    <w:p>
      <w:pPr>
        <w:pStyle w:val="Heading2"/>
        <w:spacing w:after="100" w:before="200"/>
      </w:pPr>
      <w:r>
        <w:rPr>
          <w:rFonts w:ascii="Times New Roman" w:cs="Times New Roman" w:eastAsia="Times New Roman" w:hAnsi="Times New Roman"/>
          <w:b/>
          <w:bCs/>
          <w:sz w:val="22"/>
          <w:szCs w:val="22"/>
        </w:rPr>
        <w:t xml:space="preserve">3.2 Detection &amp; Landmarks</w:t>
      </w:r>
    </w:p>
    <w:p>
      <w:pPr>
        <w:spacing w:after="120" w:before="0" w:line="240"/>
        <w:jc w:val="both"/>
      </w:pPr>
      <w:r>
        <w:rPr>
          <w:rFonts w:ascii="Times New Roman" w:cs="Times New Roman" w:eastAsia="Times New Roman" w:hAnsi="Times New Roman"/>
          <w:sz w:val="20"/>
          <w:szCs w:val="20"/>
        </w:rPr>
        <w:t xml:space="preserve">DeepFace v0.0.98+ [28] with configurable backends (OpenCV DNN 15ms, MTCNN 45ms, RetinaFace 80ms, MediaPipe 20ms). MediaPipe Face Mesh [29] with refine_landmarks=True (478 landmarks). Hand tracking via MediaPipe HandLandmarker [11] (21 landmarks/hand, dual-hand).</w:t>
      </w:r>
    </w:p>
    <w:p>
      <w:pPr>
        <w:pStyle w:val="Heading2"/>
        <w:spacing w:after="100" w:before="200"/>
      </w:pPr>
      <w:r>
        <w:rPr>
          <w:rFonts w:ascii="Times New Roman" w:cs="Times New Roman" w:eastAsia="Times New Roman" w:hAnsi="Times New Roman"/>
          <w:b/>
          <w:bCs/>
          <w:sz w:val="22"/>
          <w:szCs w:val="22"/>
        </w:rPr>
        <w:t xml:space="preserve">3.3 Embedding &amp; Vector Storage</w:t>
      </w:r>
    </w:p>
    <w:p>
      <w:pPr>
        <w:spacing w:after="120" w:before="0" w:line="240"/>
        <w:jc w:val="both"/>
      </w:pPr>
      <w:r>
        <w:rPr>
          <w:rFonts w:ascii="Times New Roman" w:cs="Times New Roman" w:eastAsia="Times New Roman" w:hAnsi="Times New Roman"/>
          <w:sz w:val="20"/>
          <w:szCs w:val="20"/>
        </w:rPr>
        <w:t xml:space="preserve">FaceNet512 [7] → 512-dim L2-normalized vectors → PostgreSQL + pgvector [30] with HNSW indexes (ef_construction=200, M=16). Per-tenant partitioned indexes + RLS policies. Operating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400"/>
      </w:tblGrid>
      <w:tr>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Use Case</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τ_match</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FAR</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FRR</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Convenience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0.40</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1.2×10⁻³</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2.1%</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Standard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0.32</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4.7×10⁻⁵</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4.8%</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KYC/AML (default)</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0.28</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8.3×10⁻⁶</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7.2%</w:t>
            </w:r>
          </w:p>
        </w:tc>
      </w:tr>
    </w:tbl>
    <w:p>
      <w:pPr>
        <w:spacing w:after="80" w:before="0" w:line="240"/>
        <w:jc w:val="both"/>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3.4 Biometric Puzzle</w:t>
      </w:r>
    </w:p>
    <w:p>
      <w:pPr>
        <w:spacing w:after="120" w:before="0" w:line="240"/>
        <w:jc w:val="both"/>
      </w:pPr>
      <w:r>
        <w:rPr>
          <w:rFonts w:ascii="Times New Roman" w:cs="Times New Roman" w:eastAsia="Times New Roman" w:hAnsi="Times New Roman"/>
          <w:sz w:val="20"/>
          <w:szCs w:val="20"/>
        </w:rPr>
        <w:t xml:space="preserve">Five randomized challenges per session from 4 categories (GESTURE, MATH, FINGER_TOUCH, SHAPE_TRACE). Scoring:</w:t>
      </w:r>
    </w:p>
    <w:p>
      <w:pPr>
        <w:spacing w:after="100" w:before="100"/>
        <w:jc w:val="center"/>
      </w:pPr>
      <w:r>
        <w:rPr>
          <w:rFonts w:ascii="Cambria Math" w:cs="Cambria Math" w:eastAsia="Cambria Math" w:hAnsi="Cambria Math"/>
          <w:i/>
          <w:iCs/>
          <w:sz w:val="20"/>
          <w:szCs w:val="20"/>
        </w:rPr>
        <w:t xml:space="preserve">S_active = (1/5) × Σ q_i,  verification: S_active ≥ 0.67 AND all categories passed</w:t>
      </w:r>
    </w:p>
    <w:p>
      <w:pPr>
        <w:spacing w:after="120" w:before="0" w:line="240"/>
        <w:jc w:val="both"/>
      </w:pPr>
      <w:r>
        <w:rPr>
          <w:rFonts w:ascii="Times New Roman" w:cs="Times New Roman" w:eastAsia="Times New Roman" w:hAnsi="Times New Roman"/>
          <w:sz w:val="20"/>
          <w:szCs w:val="20"/>
        </w:rPr>
        <w:t xml:space="preserve">EAR/MAR operates as continuous background detector (not discrete challenge) verifying face animacy during hand performance.</w:t>
      </w:r>
    </w:p>
    <w:p>
      <w:pPr>
        <w:pStyle w:val="Heading2"/>
        <w:spacing w:after="100" w:before="200"/>
      </w:pPr>
      <w:r>
        <w:rPr>
          <w:rFonts w:ascii="Times New Roman" w:cs="Times New Roman" w:eastAsia="Times New Roman" w:hAnsi="Times New Roman"/>
          <w:b/>
          <w:bCs/>
          <w:sz w:val="22"/>
          <w:szCs w:val="22"/>
        </w:rPr>
        <w:t xml:space="preserve">3.5 Hand Gesture Pipeline</w:t>
      </w:r>
    </w:p>
    <w:p>
      <w:pPr>
        <w:spacing w:after="120" w:before="0" w:line="240"/>
        <w:jc w:val="both"/>
      </w:pPr>
      <w:r>
        <w:rPr>
          <w:rFonts w:ascii="Times New Roman" w:cs="Times New Roman" w:eastAsia="Times New Roman" w:hAnsi="Times New Roman"/>
          <w:sz w:val="20"/>
          <w:szCs w:val="20"/>
        </w:rPr>
        <w:t xml:space="preserve">CLAHE preprocessing, wrist-position handedness assignment, finger state via distance-difference ratio:</w:t>
      </w:r>
    </w:p>
    <w:p>
      <w:pPr>
        <w:spacing w:after="100" w:before="100"/>
        <w:jc w:val="center"/>
      </w:pPr>
      <w:r>
        <w:rPr>
          <w:rFonts w:ascii="Cambria Math" w:cs="Cambria Math" w:eastAsia="Cambria Math" w:hAnsi="Cambria Math"/>
          <w:i/>
          <w:iCs/>
          <w:sz w:val="20"/>
          <w:szCs w:val="20"/>
        </w:rPr>
        <w:t xml:space="preserve">r_f = (d(Wrist,Tip_f) - d(Wrist,PIP_f)) / d(Wrist,MCP_middle)</w:t>
      </w:r>
    </w:p>
    <w:p>
      <w:pPr>
        <w:spacing w:after="120" w:before="0" w:line="240"/>
        <w:jc w:val="both"/>
      </w:pPr>
      <w:r>
        <w:rPr>
          <w:rFonts w:ascii="Times New Roman" w:cs="Times New Roman" w:eastAsia="Times New Roman" w:hAnsi="Times New Roman"/>
          <w:sz w:val="20"/>
          <w:szCs w:val="20"/>
        </w:rPr>
        <w:t xml:space="preserve">Hysteresis thresholds (τ_open=0.20, τ_close=0.12) tuned via grid search on 40-subject calibration set (F1=96.3%). Four-layer stabilization: normalization → hysteresis → EWMA(α=0.35) → 5-frame median.</w:t>
      </w:r>
    </w:p>
    <w:p>
      <w:pPr>
        <w:pStyle w:val="Heading2"/>
        <w:spacing w:after="100" w:before="200"/>
      </w:pPr>
      <w:r>
        <w:rPr>
          <w:rFonts w:ascii="Times New Roman" w:cs="Times New Roman" w:eastAsia="Times New Roman" w:hAnsi="Times New Roman"/>
          <w:b/>
          <w:bCs/>
          <w:sz w:val="22"/>
          <w:szCs w:val="22"/>
        </w:rPr>
        <w:t xml:space="preserve">3.6 Cognitive Liveness (MATH)</w:t>
      </w:r>
    </w:p>
    <w:p>
      <w:pPr>
        <w:spacing w:after="120" w:before="0" w:line="240"/>
        <w:jc w:val="both"/>
      </w:pPr>
      <w:r>
        <w:rPr>
          <w:rFonts w:ascii="Times New Roman" w:cs="Times New Roman" w:eastAsia="Times New Roman" w:hAnsi="Times New Roman"/>
          <w:sz w:val="20"/>
          <w:szCs w:val="20"/>
        </w:rPr>
        <w:t xml:space="preserve">Arithmetic problems (add/sub/mul/div) with answers in [0,10]. Blind evaluation: no real-time feedback. Mode of final 0.5s window evaluated. Security contribution validated empirically (Section 6.4 ablation: 1.1 ACER points independent of passive channels).</w:t>
      </w:r>
    </w:p>
    <w:p>
      <w:pPr>
        <w:pStyle w:val="Heading2"/>
        <w:spacing w:after="100" w:before="200"/>
      </w:pPr>
      <w:r>
        <w:rPr>
          <w:rFonts w:ascii="Times New Roman" w:cs="Times New Roman" w:eastAsia="Times New Roman" w:hAnsi="Times New Roman"/>
          <w:b/>
          <w:bCs/>
          <w:sz w:val="22"/>
          <w:szCs w:val="22"/>
        </w:rPr>
        <w:t xml:space="preserve">3.7 DTW Shape Tracing</w:t>
      </w:r>
    </w:p>
    <w:p>
      <w:pPr>
        <w:spacing w:after="120" w:before="0" w:line="240"/>
        <w:jc w:val="both"/>
      </w:pPr>
      <w:r>
        <w:rPr>
          <w:rFonts w:ascii="Times New Roman" w:cs="Times New Roman" w:eastAsia="Times New Roman" w:hAnsi="Times New Roman"/>
          <w:sz w:val="20"/>
          <w:szCs w:val="20"/>
        </w:rPr>
        <w:t xml:space="preserve">Templates: Circle, Square, Triangle, S-Curve. Resample to N=50, centroid-normalize, DTW cost:</w:t>
      </w:r>
    </w:p>
    <w:p>
      <w:pPr>
        <w:spacing w:after="100" w:before="100"/>
        <w:jc w:val="center"/>
      </w:pPr>
      <w:r>
        <w:rPr>
          <w:rFonts w:ascii="Cambria Math" w:cs="Cambria Math" w:eastAsia="Cambria Math" w:hAnsi="Cambria Math"/>
          <w:i/>
          <w:iCs/>
          <w:sz w:val="20"/>
          <w:szCs w:val="20"/>
        </w:rPr>
        <w:t xml:space="preserve">D(i,j) = ||p̂_i - p̂_j|| + min{D(i-1,j), D(i,j-1), D(i-1,j-1)}</w:t>
      </w:r>
    </w:p>
    <w:p>
      <w:pPr>
        <w:spacing w:after="120" w:before="0" w:line="240"/>
        <w:jc w:val="both"/>
      </w:pPr>
      <w:r>
        <w:rPr>
          <w:rFonts w:ascii="Times New Roman" w:cs="Times New Roman" w:eastAsia="Times New Roman" w:hAnsi="Times New Roman"/>
          <w:sz w:val="20"/>
          <w:szCs w:val="20"/>
        </w:rPr>
        <w:t xml:space="preserve">Accept if C = D(N,N)/N ≤ 0.25. Threshold at EER of calibration set (genuine: μ=0.12, σ=0.04; impostor: μ=0.38, σ=0.09).</w:t>
      </w:r>
    </w:p>
    <w:p>
      <w:pPr>
        <w:pStyle w:val="Heading2"/>
        <w:spacing w:after="100" w:before="200"/>
      </w:pPr>
      <w:r>
        <w:rPr>
          <w:rFonts w:ascii="Times New Roman" w:cs="Times New Roman" w:eastAsia="Times New Roman" w:hAnsi="Times New Roman"/>
          <w:b/>
          <w:bCs/>
          <w:sz w:val="22"/>
          <w:szCs w:val="22"/>
        </w:rPr>
        <w:t xml:space="preserve">3.8 Z-Axis Finger Touch</w:t>
      </w:r>
    </w:p>
    <w:p>
      <w:pPr>
        <w:spacing w:after="120" w:before="0" w:line="240"/>
        <w:jc w:val="both"/>
      </w:pPr>
      <w:r>
        <w:rPr>
          <w:rFonts w:ascii="Times New Roman" w:cs="Times New Roman" w:eastAsia="Times New Roman" w:hAnsi="Times New Roman"/>
          <w:sz w:val="20"/>
          <w:szCs w:val="20"/>
        </w:rPr>
        <w:t xml:space="preserve">5-layer gate: (1) fist rejection, (2) bystander finger, (3) normalized distance ≤ 0.28, (4) monocular relative depth |z_a-z_b| ≤ 0.04, (5) 10-frame hold. Commands: THUMB_TO_INDEX/MIDDLE/RING/PINKY, DOUBLE_THUMB.</w:t>
      </w:r>
    </w:p>
    <w:p>
      <w:pPr>
        <w:pStyle w:val="Heading1"/>
        <w:spacing w:after="120" w:before="240"/>
      </w:pPr>
      <w:r>
        <w:rPr>
          <w:rFonts w:ascii="Times New Roman" w:cs="Times New Roman" w:eastAsia="Times New Roman" w:hAnsi="Times New Roman"/>
          <w:b/>
          <w:bCs/>
          <w:sz w:val="24"/>
          <w:szCs w:val="24"/>
        </w:rPr>
        <w:t xml:space="preserve">4. Anti-Spoofing Framework</w:t>
      </w:r>
    </w:p>
    <w:p>
      <w:pPr>
        <w:pStyle w:val="Heading2"/>
        <w:spacing w:after="100" w:before="200"/>
      </w:pPr>
      <w:r>
        <w:rPr>
          <w:rFonts w:ascii="Times New Roman" w:cs="Times New Roman" w:eastAsia="Times New Roman" w:hAnsi="Times New Roman"/>
          <w:b/>
          <w:bCs/>
          <w:sz w:val="22"/>
          <w:szCs w:val="22"/>
        </w:rPr>
        <w:t xml:space="preserve">4.1 Passive Channels</w:t>
      </w:r>
    </w:p>
    <w:p>
      <w:pPr>
        <w:spacing w:after="120" w:before="0" w:line="240"/>
        <w:jc w:val="both"/>
      </w:pPr>
      <w:r>
        <w:rPr>
          <w:rFonts w:ascii="Times New Roman" w:cs="Times New Roman" w:eastAsia="Times New Roman" w:hAnsi="Times New Roman"/>
          <w:sz w:val="20"/>
          <w:szCs w:val="20"/>
        </w:rPr>
        <w:t xml:space="preserve">(1) FFT Moiré: R_HF ratio + Gabor filter bank. (2) LBP texture: histogram variance (P=8, R=1, 128×128, ~25ms). (3) Color naturalness: HSV/YCrCb analysis. (4) Laplacian blur: σ²_Lap as focus metric. (5) MiniFASNet [5]: ONNX, 80×80 input, ~15ms, reproduced ACER 2.1%. (6) Monocular relative depth estimate (not metric depth): nose protrusion ratio ρ_nose, low weight (0.10) reflecting uncertainty.</w:t>
      </w:r>
    </w:p>
    <w:p>
      <w:pPr>
        <w:pStyle w:val="Heading2"/>
        <w:spacing w:after="100" w:before="200"/>
      </w:pPr>
      <w:r>
        <w:rPr>
          <w:rFonts w:ascii="Times New Roman" w:cs="Times New Roman" w:eastAsia="Times New Roman" w:hAnsi="Times New Roman"/>
          <w:b/>
          <w:bCs/>
          <w:sz w:val="22"/>
          <w:szCs w:val="22"/>
        </w:rPr>
        <w:t xml:space="preserve">4.2 Cross-Modal Spatial Binding (Novel)</w:t>
      </w:r>
    </w:p>
    <w:p>
      <w:pPr>
        <w:spacing w:after="120" w:before="0" w:line="240"/>
        <w:jc w:val="both"/>
      </w:pPr>
      <w:r>
        <w:rPr>
          <w:rFonts w:ascii="Times New Roman" w:cs="Times New Roman" w:eastAsia="Times New Roman" w:hAnsi="Times New Roman"/>
          <w:b/>
          <w:bCs/>
          <w:sz w:val="20"/>
          <w:szCs w:val="20"/>
        </w:rPr>
        <w:t xml:space="preserve">Problem: </w:t>
      </w:r>
      <w:r>
        <w:rPr>
          <w:rFonts w:ascii="Times New Roman" w:cs="Times New Roman" w:eastAsia="Times New Roman" w:hAnsi="Times New Roman"/>
          <w:sz w:val="20"/>
          <w:szCs w:val="20"/>
        </w:rPr>
        <w:t xml:space="preserve">Without binding, attacker shows tablet (face) + uses real hands. Both pass independently.</w:t>
      </w:r>
    </w:p>
    <w:p>
      <w:pPr>
        <w:spacing w:after="120" w:before="0" w:line="240"/>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4 geometric constraints:</w:t>
      </w:r>
    </w:p>
    <w:p>
      <w:pPr>
        <w:spacing w:after="120" w:before="0" w:line="240"/>
        <w:ind w:left="360"/>
        <w:jc w:val="both"/>
      </w:pPr>
      <w:r>
        <w:rPr>
          <w:rFonts w:ascii="Times New Roman" w:cs="Times New Roman" w:eastAsia="Times New Roman" w:hAnsi="Times New Roman"/>
          <w:sz w:val="20"/>
          <w:szCs w:val="20"/>
        </w:rPr>
        <w:t xml:space="preserve">C1: Vertical ordering — wrist below chin + δ_min.</w:t>
      </w:r>
    </w:p>
    <w:p>
      <w:pPr>
        <w:spacing w:after="120" w:before="0" w:line="240"/>
        <w:ind w:left="360"/>
        <w:jc w:val="both"/>
      </w:pPr>
      <w:r>
        <w:rPr>
          <w:rFonts w:ascii="Times New Roman" w:cs="Times New Roman" w:eastAsia="Times New Roman" w:hAnsi="Times New Roman"/>
          <w:sz w:val="20"/>
          <w:szCs w:val="20"/>
        </w:rPr>
        <w:t xml:space="preserve">C2: Scale consistency — face/hand bbox ratio ∈ [1.2, 4.5].</w:t>
      </w:r>
    </w:p>
    <w:p>
      <w:pPr>
        <w:spacing w:after="120" w:before="0" w:line="240"/>
        <w:ind w:left="360"/>
        <w:jc w:val="both"/>
      </w:pPr>
      <w:r>
        <w:rPr>
          <w:rFonts w:ascii="Times New Roman" w:cs="Times New Roman" w:eastAsia="Times New Roman" w:hAnsi="Times New Roman"/>
          <w:sz w:val="20"/>
          <w:szCs w:val="20"/>
        </w:rPr>
        <w:t xml:space="preserve">C3: Parallax binding — nose-touch challenge requires hand-face physical contact, verified by landmark proximity ≤ 0.15×D_face AND face mesh displacement on contact.</w:t>
      </w:r>
    </w:p>
    <w:p>
      <w:pPr>
        <w:spacing w:after="120" w:before="0" w:line="240"/>
        <w:ind w:left="360"/>
        <w:jc w:val="both"/>
      </w:pPr>
      <w:r>
        <w:rPr>
          <w:rFonts w:ascii="Times New Roman" w:cs="Times New Roman" w:eastAsia="Times New Roman" w:hAnsi="Times New Roman"/>
          <w:sz w:val="20"/>
          <w:szCs w:val="20"/>
        </w:rPr>
        <w:t xml:space="preserve">C4: Illumination consistency — face/hand mean intensity ratio within 2σ of calibrated value.</w:t>
      </w:r>
    </w:p>
    <w:p>
      <w:pPr>
        <w:spacing w:after="120" w:before="0" w:line="240"/>
        <w:jc w:val="both"/>
      </w:pPr>
      <w:r>
        <w:rPr>
          <w:rFonts w:ascii="Times New Roman" w:cs="Times New Roman" w:eastAsia="Times New Roman" w:hAnsi="Times New Roman"/>
          <w:b/>
          <w:bCs/>
          <w:sz w:val="20"/>
          <w:szCs w:val="20"/>
        </w:rPr>
        <w:t xml:space="preserve">Result: </w:t>
      </w:r>
      <w:r>
        <w:rPr>
          <w:rFonts w:ascii="Times New Roman" w:cs="Times New Roman" w:eastAsia="Times New Roman" w:hAnsi="Times New Roman"/>
          <w:sz w:val="20"/>
          <w:szCs w:val="20"/>
        </w:rPr>
        <w:t xml:space="preserve">SAR against CSS attacks: 73.2% → 4.6% (Section 6.3).</w:t>
      </w:r>
    </w:p>
    <w:p>
      <w:pPr>
        <w:pStyle w:val="Heading2"/>
        <w:spacing w:after="100" w:before="200"/>
      </w:pPr>
      <w:r>
        <w:rPr>
          <w:rFonts w:ascii="Times New Roman" w:cs="Times New Roman" w:eastAsia="Times New Roman" w:hAnsi="Times New Roman"/>
          <w:b/>
          <w:bCs/>
          <w:sz w:val="22"/>
          <w:szCs w:val="22"/>
        </w:rPr>
        <w:t xml:space="preserve">4.3 Static-Hand Variance Detector</w:t>
      </w:r>
    </w:p>
    <w:p>
      <w:pPr>
        <w:spacing w:after="120" w:before="0" w:line="240"/>
        <w:jc w:val="both"/>
      </w:pPr>
      <w:r>
        <w:rPr>
          <w:rFonts w:ascii="Times New Roman" w:cs="Times New Roman" w:eastAsia="Times New Roman" w:hAnsi="Times New Roman"/>
          <w:sz w:val="20"/>
          <w:szCs w:val="20"/>
        </w:rPr>
        <w:t xml:space="preserve">Wrist position std-dev over 30-frame window. Flagged when σ_wrist &lt; 3×10⁻⁴ for &gt;90 frames. Note: this is positional variance detection, not spectral tremor analysis. True 8-12 Hz tremor detection would require ≥24 Hz (Nyquist) with FFT on position time-series. Our 30fps camera is at the limit. The detector measures absence of natural variance — simpler but empirically effective (Section 6.4).</w:t>
      </w:r>
    </w:p>
    <w:p>
      <w:pPr>
        <w:pStyle w:val="Heading2"/>
        <w:spacing w:after="100" w:before="200"/>
      </w:pPr>
      <w:r>
        <w:rPr>
          <w:rFonts w:ascii="Times New Roman" w:cs="Times New Roman" w:eastAsia="Times New Roman" w:hAnsi="Times New Roman"/>
          <w:b/>
          <w:bCs/>
          <w:sz w:val="22"/>
          <w:szCs w:val="22"/>
        </w:rPr>
        <w:t xml:space="preserve">4.4 EAR/MAR (Background)</w:t>
      </w:r>
    </w:p>
    <w:p>
      <w:pPr>
        <w:spacing w:after="100" w:before="100"/>
        <w:jc w:val="center"/>
      </w:pPr>
      <w:r>
        <w:rPr>
          <w:rFonts w:ascii="Cambria Math" w:cs="Cambria Math" w:eastAsia="Cambria Math" w:hAnsi="Cambria Math"/>
          <w:i/>
          <w:iCs/>
          <w:sz w:val="20"/>
          <w:szCs w:val="20"/>
        </w:rPr>
        <w:t xml:space="preserve">EAR = (||p₂-p₆|| + ||p₃-p₅||) / (2·||p₁-p₄||),  blink: EAR &lt; 0.21</w:t>
      </w:r>
    </w:p>
    <w:p>
      <w:pPr>
        <w:spacing w:after="120" w:before="0" w:line="240"/>
        <w:jc w:val="both"/>
      </w:pPr>
      <w:r>
        <w:rPr>
          <w:rFonts w:ascii="Times New Roman" w:cs="Times New Roman" w:eastAsia="Times New Roman" w:hAnsi="Times New Roman"/>
          <w:sz w:val="20"/>
          <w:szCs w:val="20"/>
        </w:rPr>
        <w:t xml:space="preserve">Role: temporal binding only. Verifies face animacy during hand challenges. Does not defend against video replay (acknowledged in Section 1.2). At least one blink required per session.</w:t>
      </w:r>
    </w:p>
    <w:p>
      <w:pPr>
        <w:pStyle w:val="Heading1"/>
        <w:spacing w:after="120" w:before="240"/>
      </w:pPr>
      <w:r>
        <w:rPr>
          <w:rFonts w:ascii="Times New Roman" w:cs="Times New Roman" w:eastAsia="Times New Roman" w:hAnsi="Times New Roman"/>
          <w:b/>
          <w:bCs/>
          <w:sz w:val="24"/>
          <w:szCs w:val="24"/>
        </w:rPr>
        <w:t xml:space="preserve">5. Decision Fusion</w:t>
      </w:r>
    </w:p>
    <w:p>
      <w:pPr>
        <w:pStyle w:val="Heading2"/>
        <w:spacing w:after="100" w:before="200"/>
      </w:pPr>
      <w:r>
        <w:rPr>
          <w:rFonts w:ascii="Times New Roman" w:cs="Times New Roman" w:eastAsia="Times New Roman" w:hAnsi="Times New Roman"/>
          <w:b/>
          <w:bCs/>
          <w:sz w:val="22"/>
          <w:szCs w:val="22"/>
        </w:rPr>
        <w:t xml:space="preserve">5.1 Quality Function</w:t>
      </w:r>
    </w:p>
    <w:p>
      <w:pPr>
        <w:spacing w:after="100" w:before="100"/>
        <w:jc w:val="center"/>
      </w:pPr>
      <w:r>
        <w:rPr>
          <w:rFonts w:ascii="Cambria Math" w:cs="Cambria Math" w:eastAsia="Cambria Math" w:hAnsi="Cambria Math"/>
          <w:i/>
          <w:iCs/>
          <w:sz w:val="20"/>
          <w:szCs w:val="20"/>
        </w:rPr>
        <w:t xml:space="preserve">q = 0.35·q_blur + 0.25·q_exposure + 0.20·q_size + 0.20·q_frontal</w:t>
      </w:r>
    </w:p>
    <w:p>
      <w:pPr>
        <w:spacing w:after="120" w:before="0" w:line="240"/>
        <w:jc w:val="both"/>
      </w:pPr>
      <w:r>
        <w:rPr>
          <w:rFonts w:ascii="Times New Roman" w:cs="Times New Roman" w:eastAsia="Times New Roman" w:hAnsi="Times New Roman"/>
          <w:sz w:val="20"/>
          <w:szCs w:val="20"/>
        </w:rPr>
        <w:t xml:space="preserve">q_blur: Laplacian variance normalized by σ²_ref=100. q_exposure: |I_mean-130|/130 complement. q_size: face area / A_min. q_frontal: head pose deviation complement. Weights via logistic regression on N=2000 development set.</w:t>
      </w:r>
    </w:p>
    <w:p>
      <w:pPr>
        <w:pStyle w:val="Heading2"/>
        <w:spacing w:after="100" w:before="200"/>
      </w:pPr>
      <w:r>
        <w:rPr>
          <w:rFonts w:ascii="Times New Roman" w:cs="Times New Roman" w:eastAsia="Times New Roman" w:hAnsi="Times New Roman"/>
          <w:b/>
          <w:bCs/>
          <w:sz w:val="22"/>
          <w:szCs w:val="22"/>
        </w:rPr>
        <w:t xml:space="preserve">5.2 Weighted Fusion</w:t>
      </w:r>
    </w:p>
    <w:p>
      <w:pPr>
        <w:spacing w:after="100" w:before="100"/>
        <w:jc w:val="center"/>
      </w:pPr>
      <w:r>
        <w:rPr>
          <w:rFonts w:ascii="Cambria Math" w:cs="Cambria Math" w:eastAsia="Cambria Math" w:hAnsi="Cambria Math"/>
          <w:i/>
          <w:iCs/>
          <w:sz w:val="20"/>
          <w:szCs w:val="20"/>
        </w:rPr>
        <w:t xml:space="preserve">L = α(q)·L_passive + (1-α(q))·L_active,  α(q) = min(0.75, 0.35+0.40·q)</w:t>
      </w:r>
    </w:p>
    <w:p>
      <w:pPr>
        <w:spacing w:after="100" w:before="100"/>
        <w:jc w:val="center"/>
      </w:pPr>
      <w:r>
        <w:rPr>
          <w:rFonts w:ascii="Cambria Math" w:cs="Cambria Math" w:eastAsia="Cambria Math" w:hAnsi="Cambria Math"/>
          <w:i/>
          <w:iCs/>
          <w:sz w:val="20"/>
          <w:szCs w:val="20"/>
        </w:rPr>
        <w:t xml:space="preserve">L_passive = 0.20·S_FFT + 0.15·S_LBP + 0.10·S_color + 0.10·S_blur + 0.35·S_deep + 0.10·S_depth</w:t>
      </w:r>
    </w:p>
    <w:p>
      <w:pPr>
        <w:spacing w:after="120" w:before="0" w:line="240"/>
        <w:jc w:val="both"/>
      </w:pPr>
      <w:r>
        <w:rPr>
          <w:rFonts w:ascii="Times New Roman" w:cs="Times New Roman" w:eastAsia="Times New Roman" w:hAnsi="Times New Roman"/>
          <w:sz w:val="20"/>
          <w:szCs w:val="20"/>
        </w:rPr>
        <w:t xml:space="preserve">Weights via grid search on development split (OULU-NPU P1). w_depth reduced to 0.10 reflecting monocular limitations.</w:t>
      </w:r>
    </w:p>
    <w:p>
      <w:pPr>
        <w:pStyle w:val="Heading2"/>
        <w:spacing w:after="100" w:before="200"/>
      </w:pPr>
      <w:r>
        <w:rPr>
          <w:rFonts w:ascii="Times New Roman" w:cs="Times New Roman" w:eastAsia="Times New Roman" w:hAnsi="Times New Roman"/>
          <w:b/>
          <w:bCs/>
          <w:sz w:val="22"/>
          <w:szCs w:val="22"/>
        </w:rPr>
        <w:t xml:space="preserve">5.3 Verdict</w:t>
      </w:r>
    </w:p>
    <w:p>
      <w:pPr>
        <w:spacing w:after="100" w:before="100"/>
        <w:jc w:val="center"/>
      </w:pPr>
      <w:r>
        <w:rPr>
          <w:rFonts w:ascii="Cambria Math" w:cs="Cambria Math" w:eastAsia="Cambria Math" w:hAnsi="Cambria Math"/>
          <w:i/>
          <w:iCs/>
          <w:sz w:val="20"/>
          <w:szCs w:val="20"/>
        </w:rPr>
        <w:t xml:space="preserve">is_live = (L ≥ 70.0) ∧ ¬veto_static ∧ binding_pass ∧ blink_detected</w:t>
      </w:r>
    </w:p>
    <w:p>
      <w:pPr>
        <w:spacing w:after="120" w:before="0" w:line="240"/>
        <w:jc w:val="both"/>
      </w:pPr>
      <w:r>
        <w:rPr>
          <w:rFonts w:ascii="Times New Roman" w:cs="Times New Roman" w:eastAsia="Times New Roman" w:hAnsi="Times New Roman"/>
          <w:sz w:val="20"/>
          <w:szCs w:val="20"/>
        </w:rPr>
        <w:t xml:space="preserve">Threshold sensitivity: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τ_live</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APCER%</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BPCER%</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ACER%</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60</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8.4</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4.8</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65</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5.1</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2.3</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3.7</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70 (selected)</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3.2</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2.4</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2.8</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75</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1.9</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4.8</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3.4</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80</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0.8</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9.1</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5.0</w:t>
            </w:r>
          </w:p>
        </w:tc>
      </w:tr>
    </w:tbl>
    <w:p>
      <w:pPr>
        <w:spacing w:after="80" w:before="0" w:line="240"/>
        <w:jc w:val="both"/>
      </w:pPr>
      <w:r>
        <w:rPr>
          <w:rFonts w:ascii="Times New Roman" w:cs="Times New Roman" w:eastAsia="Times New Roman" w:hAnsi="Times New Roman"/>
          <w:sz w:val="20"/>
          <w:szCs w:val="20"/>
        </w:rPr>
        <w:t xml:space="preserve"/>
      </w:r>
    </w:p>
    <w:p>
      <w:pPr>
        <w:pStyle w:val="Heading1"/>
        <w:spacing w:after="120" w:before="240"/>
      </w:pPr>
      <w:r>
        <w:rPr>
          <w:rFonts w:ascii="Times New Roman" w:cs="Times New Roman" w:eastAsia="Times New Roman" w:hAnsi="Times New Roman"/>
          <w:b/>
          <w:bCs/>
          <w:sz w:val="24"/>
          <w:szCs w:val="24"/>
        </w:rPr>
        <w:t xml:space="preserve">6. Experimental Evaluation</w:t>
      </w:r>
    </w:p>
    <w:p>
      <w:pPr>
        <w:pStyle w:val="Heading2"/>
        <w:spacing w:after="100" w:before="200"/>
      </w:pPr>
      <w:r>
        <w:rPr>
          <w:rFonts w:ascii="Times New Roman" w:cs="Times New Roman" w:eastAsia="Times New Roman" w:hAnsi="Times New Roman"/>
          <w:b/>
          <w:bCs/>
          <w:sz w:val="22"/>
          <w:szCs w:val="22"/>
        </w:rPr>
        <w:t xml:space="preserve">6.1 Datasets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Dataset</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Subjects</w:t>
            </w:r>
          </w:p>
        </w:tc>
        <w:tc>
          <w:tcPr>
            <w:tcW w:type="dxa" w:w="4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PAI Species</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OULU-NPU [32]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55</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Print, Replay (P1-P4)</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Replay-Attack [33]</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50</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Print, Mobile, Highdef</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Internal-SR</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30</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 display types (LCD→Foldable)</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Internal-CSS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30</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Confederate split-screen</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Internal-GH</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40</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Gesture calibration</w:t>
            </w:r>
          </w:p>
        </w:tc>
      </w:tr>
    </w:tbl>
    <w:p>
      <w:pPr>
        <w:spacing w:after="80" w:before="0" w:line="240"/>
        <w:jc w:val="both"/>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6.2 Main Results — OULU-NPU Protocol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3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Method</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APCER%</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BPCER%</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ACER%</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MiniFASNet alone [5]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1.6</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1.8</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LBP-only (ours)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7.3</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3.8</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5.6</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CDCN [4] (reported)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1.7</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1.0</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FIVUCSAS passive-only</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2.9</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2.5</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FIVUCSAS full pipeline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2.8</w:t>
            </w:r>
          </w:p>
        </w:tc>
      </w:tr>
    </w:tbl>
    <w:p>
      <w:pPr>
        <w:spacing w:after="80" w:before="0" w:line="240"/>
        <w:jc w:val="both"/>
      </w:pPr>
      <w:r>
        <w:rPr>
          <w:rFonts w:ascii="Times New Roman" w:cs="Times New Roman" w:eastAsia="Times New Roman" w:hAnsi="Times New Roman"/>
          <w:sz w:val="20"/>
          <w:szCs w:val="20"/>
        </w:rPr>
        <w:t xml:space="preserve"/>
      </w:r>
    </w:p>
    <w:p>
      <w:pPr>
        <w:spacing w:after="120" w:before="0" w:line="240"/>
        <w:jc w:val="both"/>
      </w:pPr>
      <w:r>
        <w:rPr>
          <w:rFonts w:ascii="Times New Roman" w:cs="Times New Roman" w:eastAsia="Times New Roman" w:hAnsi="Times New Roman"/>
          <w:sz w:val="20"/>
          <w:szCs w:val="20"/>
        </w:rPr>
        <w:t xml:space="preserve">Note: Full pipeline ACER slightly higher on OULU-NPU because active challenges cannot be exercised against pre-recorded videos. Advantage manifests in live attack scenarios:</w:t>
      </w:r>
    </w:p>
    <w:p>
      <w:pPr>
        <w:pStyle w:val="Heading2"/>
        <w:spacing w:after="100" w:before="200"/>
      </w:pPr>
      <w:r>
        <w:rPr>
          <w:rFonts w:ascii="Times New Roman" w:cs="Times New Roman" w:eastAsia="Times New Roman" w:hAnsi="Times New Roman"/>
          <w:b/>
          <w:bCs/>
          <w:sz w:val="22"/>
          <w:szCs w:val="22"/>
        </w:rPr>
        <w:t xml:space="preserve">6.3 Live Attack Results</w:t>
      </w:r>
    </w:p>
    <w:p>
      <w:pPr>
        <w:spacing w:after="120" w:before="0" w:line="240"/>
        <w:jc w:val="both"/>
      </w:pPr>
      <w:r>
        <w:rPr>
          <w:rFonts w:ascii="Times New Roman" w:cs="Times New Roman" w:eastAsia="Times New Roman" w:hAnsi="Times New Roman"/>
          <w:b/>
          <w:bCs/>
          <w:sz w:val="20"/>
          <w:szCs w:val="20"/>
        </w:rPr>
        <w:t xml:space="preserve">Screen Replay (Internal-SR):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Display</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SAR passive</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SAR full</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Δ</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LCD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4.2%</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0.8%</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-3.4</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IPS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5.8%</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-4.6</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OLED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12.3%</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-10.2</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PenTile OLED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15.7%</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-12.3</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Foldable OLED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18.2%</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4.8%</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-13.4</w:t>
            </w:r>
          </w:p>
        </w:tc>
      </w:tr>
    </w:tbl>
    <w:p>
      <w:pPr>
        <w:spacing w:after="80" w:before="0" w:line="240"/>
        <w:jc w:val="both"/>
      </w:pPr>
      <w:r>
        <w:rPr>
          <w:rFonts w:ascii="Times New Roman" w:cs="Times New Roman" w:eastAsia="Times New Roman" w:hAnsi="Times New Roman"/>
          <w:sz w:val="20"/>
          <w:szCs w:val="20"/>
        </w:rPr>
        <w:t xml:space="preserve"/>
      </w:r>
    </w:p>
    <w:p>
      <w:pPr>
        <w:spacing w:after="120" w:before="0" w:line="240"/>
        <w:jc w:val="both"/>
      </w:pPr>
      <w:r>
        <w:rPr>
          <w:rFonts w:ascii="Times New Roman" w:cs="Times New Roman" w:eastAsia="Times New Roman" w:hAnsi="Times New Roman"/>
          <w:b/>
          <w:bCs/>
          <w:sz w:val="20"/>
          <w:szCs w:val="20"/>
        </w:rPr>
        <w:t xml:space="preserve">Confederate Split-Screen: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Config</w:t>
            </w:r>
          </w:p>
        </w:tc>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SAR no binding</w:t>
            </w:r>
          </w:p>
        </w:tc>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SAR with binding</w:t>
            </w:r>
          </w:p>
        </w:tc>
      </w:tr>
      <w:tr>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Tablet + same person hands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73.2%</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4.6%</w:t>
            </w:r>
          </w:p>
        </w:tc>
      </w:tr>
      <w:tr>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Tablet + confederate hands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68.9%</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3.8%</w:t>
            </w:r>
          </w:p>
        </w:tc>
      </w:tr>
      <w:tr>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Phone (small) + hands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41.3%</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2.1%</w:t>
            </w:r>
          </w:p>
        </w:tc>
      </w:tr>
    </w:tbl>
    <w:p>
      <w:pPr>
        <w:spacing w:after="80" w:before="0" w:line="240"/>
        <w:jc w:val="both"/>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6.4 Ablation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00"/>
      </w:tblGrid>
      <w:tr>
        <w:tc>
          <w:tcPr>
            <w:tcW w:type="dxa" w:w="4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Removed Channel</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ACER%</w:t>
            </w:r>
          </w:p>
        </w:tc>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Δ</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Full pipeline</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2.8</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MiniFASNet</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6.4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+3.6</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FFT Moiré</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+1.3</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Cross-modal binding*</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5.1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+2.3</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MATH challenge†</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3.9</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+1.1</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All hand challenges†</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4.6</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+1.8</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LBP texture</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3.5</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+0.7</w:t>
            </w:r>
          </w:p>
        </w:tc>
      </w:tr>
      <w:tr>
        <w:tc>
          <w:tcPr>
            <w:tcW w:type="dxa" w:w="4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 Pseudo-depth</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3.0</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+0.2</w:t>
            </w:r>
          </w:p>
        </w:tc>
      </w:tr>
    </w:tbl>
    <w:p>
      <w:pPr>
        <w:spacing w:after="80" w:before="0" w:line="240"/>
        <w:jc w:val="both"/>
      </w:pPr>
      <w:r>
        <w:rPr>
          <w:rFonts w:ascii="Times New Roman" w:cs="Times New Roman" w:eastAsia="Times New Roman" w:hAnsi="Times New Roman"/>
          <w:sz w:val="20"/>
          <w:szCs w:val="20"/>
        </w:rPr>
        <w:t xml:space="preserve">*CSS corpus. †Live attack scenarios.</w:t>
      </w:r>
    </w:p>
    <w:p>
      <w:pPr>
        <w:pStyle w:val="Heading2"/>
        <w:spacing w:after="100" w:before="200"/>
      </w:pPr>
      <w:r>
        <w:rPr>
          <w:rFonts w:ascii="Times New Roman" w:cs="Times New Roman" w:eastAsia="Times New Roman" w:hAnsi="Times New Roman"/>
          <w:b/>
          <w:bCs/>
          <w:sz w:val="22"/>
          <w:szCs w:val="22"/>
        </w:rPr>
        <w:t xml:space="preserve">6.5 Latency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c>
          <w:tcPr>
            <w:tcW w:type="dxa" w:w="3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Component</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P50</w:t>
            </w:r>
          </w:p>
        </w:tc>
        <w:tc>
          <w:tcPr>
            <w:tcW w:type="dxa" w:w="3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r>
              <w:rPr>
                <w:rFonts w:ascii="Times New Roman" w:cs="Times New Roman" w:eastAsia="Times New Roman" w:hAnsi="Times New Roman"/>
                <w:b/>
                <w:bCs/>
                <w:sz w:val="18"/>
                <w:szCs w:val="18"/>
              </w:rPr>
              <w:t xml:space="preserve">Frequency</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Face detection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15ms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frame</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Face Mesh</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frame</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Hand landmarker</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18ms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frame</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LBP (128×128)</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25ms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3rd frame</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MiniFASNet</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15ms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3rd frame</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FFT+Gabor</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12ms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3rd frame</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Binding check</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&lt;1ms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Every frame</w:t>
            </w:r>
          </w:p>
        </w:tc>
      </w:tr>
    </w:tbl>
    <w:p>
      <w:pPr>
        <w:spacing w:after="80" w:before="0" w:line="240"/>
        <w:jc w:val="both"/>
      </w:pPr>
      <w:r>
        <w:rPr>
          <w:rFonts w:ascii="Times New Roman" w:cs="Times New Roman" w:eastAsia="Times New Roman" w:hAnsi="Times New Roman"/>
          <w:sz w:val="20"/>
          <w:szCs w:val="20"/>
        </w:rPr>
        <w:t xml:space="preserve"/>
      </w:r>
    </w:p>
    <w:p>
      <w:pPr>
        <w:spacing w:after="120" w:before="0" w:line="240"/>
        <w:jc w:val="both"/>
      </w:pPr>
      <w:r>
        <w:rPr>
          <w:rFonts w:ascii="Times New Roman" w:cs="Times New Roman" w:eastAsia="Times New Roman" w:hAnsi="Times New Roman"/>
          <w:sz w:val="20"/>
          <w:szCs w:val="20"/>
        </w:rPr>
        <w:t xml:space="preserve">Effective: 45ms detection + 15ms amortized passive = ~60ms/frame (P50). P99: 95ms. Thread pool (4 workers) provides parallelism via GIL-releasing C extensions.</w:t>
      </w:r>
    </w:p>
    <w:p>
      <w:pPr>
        <w:pStyle w:val="Heading1"/>
        <w:spacing w:after="120" w:before="240"/>
      </w:pPr>
      <w:r>
        <w:rPr>
          <w:rFonts w:ascii="Times New Roman" w:cs="Times New Roman" w:eastAsia="Times New Roman" w:hAnsi="Times New Roman"/>
          <w:b/>
          <w:bCs/>
          <w:sz w:val="24"/>
          <w:szCs w:val="24"/>
        </w:rPr>
        <w:t xml:space="preserve">7. Privacy &amp; Accessibility</w:t>
      </w:r>
    </w:p>
    <w:p>
      <w:pPr>
        <w:pStyle w:val="Heading2"/>
        <w:spacing w:after="100" w:before="200"/>
      </w:pPr>
      <w:r>
        <w:rPr>
          <w:rFonts w:ascii="Times New Roman" w:cs="Times New Roman" w:eastAsia="Times New Roman" w:hAnsi="Times New Roman"/>
          <w:b/>
          <w:bCs/>
          <w:sz w:val="22"/>
          <w:szCs w:val="22"/>
        </w:rPr>
        <w:t xml:space="preserve">7.1 KVKK/GDPR</w:t>
      </w:r>
    </w:p>
    <w:p>
      <w:pPr>
        <w:spacing w:after="120" w:before="0" w:line="240"/>
        <w:jc w:val="both"/>
      </w:pPr>
      <w:r>
        <w:rPr>
          <w:rFonts w:ascii="Times New Roman" w:cs="Times New Roman" w:eastAsia="Times New Roman" w:hAnsi="Times New Roman"/>
          <w:sz w:val="20"/>
          <w:szCs w:val="20"/>
        </w:rPr>
        <w:t xml:space="preserve">Biometric data is KVKK Art. 6 special category / GDPR Art. 9. Only 512-dim embeddings stored (never raw images). AES-256 encryption at rest + envelope encryption with KMS. RLS policies for tenant isolation. Right to erasure: row deletion + quarterly HNSW rebuild. Template protection (cancelable biometrics) acknowledged as future work.</w:t>
      </w:r>
    </w:p>
    <w:p>
      <w:pPr>
        <w:pStyle w:val="Heading2"/>
        <w:spacing w:after="100" w:before="200"/>
      </w:pPr>
      <w:r>
        <w:rPr>
          <w:rFonts w:ascii="Times New Roman" w:cs="Times New Roman" w:eastAsia="Times New Roman" w:hAnsi="Times New Roman"/>
          <w:b/>
          <w:bCs/>
          <w:sz w:val="22"/>
          <w:szCs w:val="22"/>
        </w:rPr>
        <w:t xml:space="preserve">7.2 Accessibility</w:t>
      </w:r>
    </w:p>
    <w:p>
      <w:pPr>
        <w:spacing w:after="120" w:before="0" w:line="240"/>
        <w:jc w:val="both"/>
      </w:pPr>
      <w:r>
        <w:rPr>
          <w:rFonts w:ascii="Times New Roman" w:cs="Times New Roman" w:eastAsia="Times New Roman" w:hAnsi="Times New Roman"/>
          <w:sz w:val="20"/>
          <w:szCs w:val="20"/>
        </w:rPr>
        <w:t xml:space="preserve">Fallback levels: Standard (all 4 categories) → Reduced motor (GESTURE+MATH only) → Passive-only (no active) → Human escalation. Configurable per-tenant for EU EAA / Turkish disability regulations. Passive-only accepts higher SAR for accessibility.</w:t>
      </w:r>
    </w:p>
    <w:p>
      <w:pPr>
        <w:pStyle w:val="Heading1"/>
        <w:spacing w:after="120" w:before="240"/>
      </w:pPr>
      <w:r>
        <w:rPr>
          <w:rFonts w:ascii="Times New Roman" w:cs="Times New Roman" w:eastAsia="Times New Roman" w:hAnsi="Times New Roman"/>
          <w:b/>
          <w:bCs/>
          <w:sz w:val="24"/>
          <w:szCs w:val="24"/>
        </w:rPr>
        <w:t xml:space="preserve">8. Conclusion</w:t>
      </w:r>
    </w:p>
    <w:p>
      <w:pPr>
        <w:spacing w:after="120" w:before="0" w:line="240"/>
        <w:jc w:val="both"/>
      </w:pPr>
      <w:r>
        <w:rPr>
          <w:rFonts w:ascii="Times New Roman" w:cs="Times New Roman" w:eastAsia="Times New Roman" w:hAnsi="Times New Roman"/>
          <w:sz w:val="20"/>
          <w:szCs w:val="20"/>
        </w:rPr>
        <w:t xml:space="preserve">FIVUCSAS achieves ACER 2.8% on OULU-NPU P1 and demonstrates significant advantage against OLED replay (10-13 point SAR reduction) and confederate attacks (73.2% → 4.6% via cross-modal binding). The cognitive MATH challenge contributes 1.1 ACER points independently. The system hardens against screen replay and confederate attacks within the defined scope. It does not claim to defeat 3D masks, real-time deepfakes, or client-side frame injection on compromised devices.</w:t>
      </w:r>
    </w:p>
    <w:p>
      <w:pPr>
        <w:pStyle w:val="Heading2"/>
        <w:spacing w:after="100" w:before="200"/>
      </w:pPr>
      <w:r>
        <w:rPr>
          <w:rFonts w:ascii="Times New Roman" w:cs="Times New Roman" w:eastAsia="Times New Roman" w:hAnsi="Times New Roman"/>
          <w:b/>
          <w:bCs/>
          <w:sz w:val="22"/>
          <w:szCs w:val="22"/>
        </w:rPr>
        <w:t xml:space="preserve">Limitations</w:t>
      </w:r>
    </w:p>
    <w:p>
      <w:pPr>
        <w:spacing w:after="120" w:before="0" w:line="240"/>
        <w:jc w:val="both"/>
      </w:pPr>
      <w:r>
        <w:rPr>
          <w:rFonts w:ascii="Times New Roman" w:cs="Times New Roman" w:eastAsia="Times New Roman" w:hAnsi="Times New Roman"/>
          <w:sz w:val="20"/>
          <w:szCs w:val="20"/>
        </w:rPr>
        <w:t xml:space="preserve">(1) Binding defeated by confederate physically behind target. (2) Monocular depth weak against curved displays. (3) CSS evaluation corpus is small (N=360). (4) Passive channels underperform CDCN on cross-dataset P4. (5) Accessibility fallbacks weaken security.</w:t>
      </w:r>
    </w:p>
    <w:p>
      <w:pPr>
        <w:pStyle w:val="Heading2"/>
        <w:spacing w:after="100" w:before="200"/>
      </w:pPr>
      <w:r>
        <w:rPr>
          <w:rFonts w:ascii="Times New Roman" w:cs="Times New Roman" w:eastAsia="Times New Roman" w:hAnsi="Times New Roman"/>
          <w:b/>
          <w:bCs/>
          <w:sz w:val="22"/>
          <w:szCs w:val="22"/>
        </w:rPr>
        <w:t xml:space="preserve">Future Work</w:t>
      </w:r>
    </w:p>
    <w:p>
      <w:pPr>
        <w:spacing w:after="120" w:before="0" w:line="240"/>
        <w:jc w:val="both"/>
      </w:pPr>
      <w:r>
        <w:rPr>
          <w:rFonts w:ascii="Times New Roman" w:cs="Times New Roman" w:eastAsia="Times New Roman" w:hAnsi="Times New Roman"/>
          <w:sz w:val="20"/>
          <w:szCs w:val="20"/>
        </w:rPr>
        <w:t xml:space="preserve">(1) Hardware attestation (Play Integrity, App Attest). (2) Temporal consistency for deepfake detection. (3) Adversarial training for MiniFASNet. (4) Cancelable biometrics. (5) 60fps spectral tremor analysis. (6) Expanded evaluation (CelebA-Spoof, SiW-Mv2, WMCA).</w:t>
      </w:r>
    </w:p>
    <w:p>
      <w:pPr>
        <w:pStyle w:val="Heading1"/>
        <w:spacing w:after="120" w:before="240"/>
      </w:pPr>
      <w:r>
        <w:rPr>
          <w:rFonts w:ascii="Times New Roman" w:cs="Times New Roman" w:eastAsia="Times New Roman" w:hAnsi="Times New Roman"/>
          <w:b/>
          <w:bCs/>
          <w:sz w:val="24"/>
          <w:szCs w:val="24"/>
        </w:rPr>
        <w:t xml:space="preserve">References</w:t>
      </w:r>
    </w:p>
    <w:p>
      <w:pPr>
        <w:spacing w:after="50" w:before="0" w:line="240"/>
        <w:jc w:val="both"/>
      </w:pPr>
      <w:r>
        <w:rPr>
          <w:rFonts w:ascii="Times New Roman" w:cs="Times New Roman" w:eastAsia="Times New Roman" w:hAnsi="Times New Roman"/>
          <w:sz w:val="20"/>
          <w:szCs w:val="20"/>
        </w:rPr>
        <w:t xml:space="preserve">[1] ISO/IEC 30107-3:2017. Biometric PAD — Part 3: Testing and reporting.</w:t>
      </w:r>
    </w:p>
    <w:p>
      <w:pPr>
        <w:spacing w:after="50" w:before="0" w:line="240"/>
        <w:jc w:val="both"/>
      </w:pPr>
      <w:r>
        <w:rPr>
          <w:rFonts w:ascii="Times New Roman" w:cs="Times New Roman" w:eastAsia="Times New Roman" w:hAnsi="Times New Roman"/>
          <w:sz w:val="20"/>
          <w:szCs w:val="20"/>
        </w:rPr>
        <w:t xml:space="preserve">[2] ISO/IEC 19795-1:2021. Biometric performance testing — Part 1.</w:t>
      </w:r>
    </w:p>
    <w:p>
      <w:pPr>
        <w:spacing w:after="50" w:before="0" w:line="240"/>
        <w:jc w:val="both"/>
      </w:pPr>
      <w:r>
        <w:rPr>
          <w:rFonts w:ascii="Times New Roman" w:cs="Times New Roman" w:eastAsia="Times New Roman" w:hAnsi="Times New Roman"/>
          <w:sz w:val="20"/>
          <w:szCs w:val="20"/>
        </w:rPr>
        <w:t xml:space="preserve">[3] Boulkenafet et al., "Face anti-spoofing based on color texture," ICIP 2015.</w:t>
      </w:r>
    </w:p>
    <w:p>
      <w:pPr>
        <w:spacing w:after="50" w:before="0" w:line="240"/>
        <w:jc w:val="both"/>
      </w:pPr>
      <w:r>
        <w:rPr>
          <w:rFonts w:ascii="Times New Roman" w:cs="Times New Roman" w:eastAsia="Times New Roman" w:hAnsi="Times New Roman"/>
          <w:sz w:val="20"/>
          <w:szCs w:val="20"/>
        </w:rPr>
        <w:t xml:space="preserve">[4] Yu et al., "CDCN for Face Anti-Spoofing," CVPR 2020.</w:t>
      </w:r>
    </w:p>
    <w:p>
      <w:pPr>
        <w:spacing w:after="50" w:before="0" w:line="240"/>
        <w:jc w:val="both"/>
      </w:pPr>
      <w:r>
        <w:rPr>
          <w:rFonts w:ascii="Times New Roman" w:cs="Times New Roman" w:eastAsia="Times New Roman" w:hAnsi="Times New Roman"/>
          <w:sz w:val="20"/>
          <w:szCs w:val="20"/>
        </w:rPr>
        <w:t xml:space="preserve">[5] Yu et al., "Face Anti-Spoofing with Human Material Perception," ECCV 2020.</w:t>
      </w:r>
    </w:p>
    <w:p>
      <w:pPr>
        <w:spacing w:after="50" w:before="0" w:line="240"/>
        <w:jc w:val="both"/>
      </w:pPr>
      <w:r>
        <w:rPr>
          <w:rFonts w:ascii="Times New Roman" w:cs="Times New Roman" w:eastAsia="Times New Roman" w:hAnsi="Times New Roman"/>
          <w:sz w:val="20"/>
          <w:szCs w:val="20"/>
        </w:rPr>
        <w:t xml:space="preserve">[6] Soukupova &amp; Cech, "Eye blink detection using landmarks," CVWW 2016.</w:t>
      </w:r>
    </w:p>
    <w:p>
      <w:pPr>
        <w:spacing w:after="50" w:before="0" w:line="240"/>
        <w:jc w:val="both"/>
      </w:pPr>
      <w:r>
        <w:rPr>
          <w:rFonts w:ascii="Times New Roman" w:cs="Times New Roman" w:eastAsia="Times New Roman" w:hAnsi="Times New Roman"/>
          <w:sz w:val="20"/>
          <w:szCs w:val="20"/>
        </w:rPr>
        <w:t xml:space="preserve">[7] Schroff et al., "FaceNet," CVPR 2015.</w:t>
      </w:r>
    </w:p>
    <w:p>
      <w:pPr>
        <w:spacing w:after="50" w:before="0" w:line="240"/>
        <w:jc w:val="both"/>
      </w:pPr>
      <w:r>
        <w:rPr>
          <w:rFonts w:ascii="Times New Roman" w:cs="Times New Roman" w:eastAsia="Times New Roman" w:hAnsi="Times New Roman"/>
          <w:sz w:val="20"/>
          <w:szCs w:val="20"/>
        </w:rPr>
        <w:t xml:space="preserve">[8] Zhang et al., "MTCNN," IEEE SPL 2016.</w:t>
      </w:r>
    </w:p>
    <w:p>
      <w:pPr>
        <w:spacing w:after="50" w:before="0" w:line="240"/>
        <w:jc w:val="both"/>
      </w:pPr>
      <w:r>
        <w:rPr>
          <w:rFonts w:ascii="Times New Roman" w:cs="Times New Roman" w:eastAsia="Times New Roman" w:hAnsi="Times New Roman"/>
          <w:sz w:val="20"/>
          <w:szCs w:val="20"/>
        </w:rPr>
        <w:t xml:space="preserve">[9] Bazarevsky et al., "BlazeFace," CVPR-W 2019.</w:t>
      </w:r>
    </w:p>
    <w:p>
      <w:pPr>
        <w:spacing w:after="50" w:before="0" w:line="240"/>
        <w:jc w:val="both"/>
      </w:pPr>
      <w:r>
        <w:rPr>
          <w:rFonts w:ascii="Times New Roman" w:cs="Times New Roman" w:eastAsia="Times New Roman" w:hAnsi="Times New Roman"/>
          <w:sz w:val="20"/>
          <w:szCs w:val="20"/>
        </w:rPr>
        <w:t xml:space="preserve">[10] Johnson et al., "Billion-scale similarity search," IEEE TBD 2019.</w:t>
      </w:r>
    </w:p>
    <w:p>
      <w:pPr>
        <w:spacing w:after="50" w:before="0" w:line="240"/>
        <w:jc w:val="both"/>
      </w:pPr>
      <w:r>
        <w:rPr>
          <w:rFonts w:ascii="Times New Roman" w:cs="Times New Roman" w:eastAsia="Times New Roman" w:hAnsi="Times New Roman"/>
          <w:sz w:val="20"/>
          <w:szCs w:val="20"/>
        </w:rPr>
        <w:t xml:space="preserve">[11] Zhang et al., "MediaPipe Hands," CVPR-W 2020.</w:t>
      </w:r>
    </w:p>
    <w:p>
      <w:pPr>
        <w:spacing w:after="50" w:before="0" w:line="240"/>
        <w:jc w:val="both"/>
      </w:pPr>
      <w:r>
        <w:rPr>
          <w:rFonts w:ascii="Times New Roman" w:cs="Times New Roman" w:eastAsia="Times New Roman" w:hAnsi="Times New Roman"/>
          <w:sz w:val="20"/>
          <w:szCs w:val="20"/>
        </w:rPr>
        <w:t xml:space="preserve">[12] Sakoe &amp; Chiba, "DTW optimization," IEEE TASSP 1978.</w:t>
      </w:r>
    </w:p>
    <w:p>
      <w:pPr>
        <w:spacing w:after="50" w:before="0" w:line="240"/>
        <w:jc w:val="both"/>
      </w:pPr>
      <w:r>
        <w:rPr>
          <w:rFonts w:ascii="Times New Roman" w:cs="Times New Roman" w:eastAsia="Times New Roman" w:hAnsi="Times New Roman"/>
          <w:sz w:val="20"/>
          <w:szCs w:val="20"/>
        </w:rPr>
        <w:t xml:space="preserve">[13] Chingovska et al., "LBP in face anti-spoofing," BIOSIG 2012.</w:t>
      </w:r>
    </w:p>
    <w:p>
      <w:pPr>
        <w:spacing w:after="50" w:before="0" w:line="240"/>
        <w:jc w:val="both"/>
      </w:pPr>
      <w:r>
        <w:rPr>
          <w:rFonts w:ascii="Times New Roman" w:cs="Times New Roman" w:eastAsia="Times New Roman" w:hAnsi="Times New Roman"/>
          <w:sz w:val="20"/>
          <w:szCs w:val="20"/>
        </w:rPr>
        <w:t xml:space="preserve">[14] de Souza et al., "Deep texture for spoofing," IEEE TCSVT 2017.</w:t>
      </w:r>
    </w:p>
    <w:p>
      <w:pPr>
        <w:spacing w:after="50" w:before="0" w:line="240"/>
        <w:jc w:val="both"/>
      </w:pPr>
      <w:r>
        <w:rPr>
          <w:rFonts w:ascii="Times New Roman" w:cs="Times New Roman" w:eastAsia="Times New Roman" w:hAnsi="Times New Roman"/>
          <w:sz w:val="20"/>
          <w:szCs w:val="20"/>
        </w:rPr>
        <w:t xml:space="preserve">[15] Li et al., "Live face detection via Fourier spectra," SPIE 2004.</w:t>
      </w:r>
    </w:p>
    <w:p>
      <w:pPr>
        <w:spacing w:after="50" w:before="0" w:line="240"/>
        <w:jc w:val="both"/>
      </w:pPr>
      <w:r>
        <w:rPr>
          <w:rFonts w:ascii="Times New Roman" w:cs="Times New Roman" w:eastAsia="Times New Roman" w:hAnsi="Times New Roman"/>
          <w:sz w:val="20"/>
          <w:szCs w:val="20"/>
        </w:rPr>
        <w:t xml:space="preserve">[16] Patel et al., "Secure face unlock," IEEE TIFS 2016.</w:t>
      </w:r>
    </w:p>
    <w:p>
      <w:pPr>
        <w:spacing w:after="50" w:before="0" w:line="240"/>
        <w:jc w:val="both"/>
      </w:pPr>
      <w:r>
        <w:rPr>
          <w:rFonts w:ascii="Times New Roman" w:cs="Times New Roman" w:eastAsia="Times New Roman" w:hAnsi="Times New Roman"/>
          <w:sz w:val="20"/>
          <w:szCs w:val="20"/>
        </w:rPr>
        <w:t xml:space="preserve">[17] Wang et al., "FAS-SGTD," CVPR 2020.</w:t>
      </w:r>
    </w:p>
    <w:p>
      <w:pPr>
        <w:spacing w:after="50" w:before="0" w:line="240"/>
        <w:jc w:val="both"/>
      </w:pPr>
      <w:r>
        <w:rPr>
          <w:rFonts w:ascii="Times New Roman" w:cs="Times New Roman" w:eastAsia="Times New Roman" w:hAnsi="Times New Roman"/>
          <w:sz w:val="20"/>
          <w:szCs w:val="20"/>
        </w:rPr>
        <w:t xml:space="preserve">[18] Liu et al., "Deep models for FAS: binary or auxiliary," CVPR 2018.</w:t>
      </w:r>
    </w:p>
    <w:p>
      <w:pPr>
        <w:spacing w:after="50" w:before="0" w:line="240"/>
        <w:jc w:val="both"/>
      </w:pPr>
      <w:r>
        <w:rPr>
          <w:rFonts w:ascii="Times New Roman" w:cs="Times New Roman" w:eastAsia="Times New Roman" w:hAnsi="Times New Roman"/>
          <w:sz w:val="20"/>
          <w:szCs w:val="20"/>
        </w:rPr>
        <w:t xml:space="preserve">[19] George &amp; Marcel, "FaceBagNet," ICB 2019.</w:t>
      </w:r>
    </w:p>
    <w:p>
      <w:pPr>
        <w:spacing w:after="50" w:before="0" w:line="240"/>
        <w:jc w:val="both"/>
      </w:pPr>
      <w:r>
        <w:rPr>
          <w:rFonts w:ascii="Times New Roman" w:cs="Times New Roman" w:eastAsia="Times New Roman" w:hAnsi="Times New Roman"/>
          <w:sz w:val="20"/>
          <w:szCs w:val="20"/>
        </w:rPr>
        <w:t xml:space="preserve">[20] Yu et al., "Deep Learning for FAS: A Survey," IEEE TPAMI 2023.</w:t>
      </w:r>
    </w:p>
    <w:p>
      <w:pPr>
        <w:spacing w:after="50" w:before="0" w:line="240"/>
        <w:jc w:val="both"/>
      </w:pPr>
      <w:r>
        <w:rPr>
          <w:rFonts w:ascii="Times New Roman" w:cs="Times New Roman" w:eastAsia="Times New Roman" w:hAnsi="Times New Roman"/>
          <w:sz w:val="20"/>
          <w:szCs w:val="20"/>
        </w:rPr>
        <w:t xml:space="preserve">[21] Tang et al., "Randomized multi-modal prompts," IJCB 2021.</w:t>
      </w:r>
    </w:p>
    <w:p>
      <w:pPr>
        <w:spacing w:after="50" w:before="0" w:line="240"/>
        <w:jc w:val="both"/>
      </w:pPr>
      <w:r>
        <w:rPr>
          <w:rFonts w:ascii="Times New Roman" w:cs="Times New Roman" w:eastAsia="Times New Roman" w:hAnsi="Times New Roman"/>
          <w:sz w:val="20"/>
          <w:szCs w:val="20"/>
        </w:rPr>
        <w:t xml:space="preserve">[22] Kowalski et al., "Alive! Liveness via hand gestures," WACV 2019.</w:t>
      </w:r>
    </w:p>
    <w:p>
      <w:pPr>
        <w:spacing w:after="50" w:before="0" w:line="240"/>
        <w:jc w:val="both"/>
      </w:pPr>
      <w:r>
        <w:rPr>
          <w:rFonts w:ascii="Times New Roman" w:cs="Times New Roman" w:eastAsia="Times New Roman" w:hAnsi="Times New Roman"/>
          <w:sz w:val="20"/>
          <w:szCs w:val="20"/>
        </w:rPr>
        <w:t xml:space="preserve">[23] Chen et al., "Sign language for inclusive liveness," ACM ASSETS 2022.</w:t>
      </w:r>
    </w:p>
    <w:p>
      <w:pPr>
        <w:spacing w:after="50" w:before="0" w:line="240"/>
        <w:jc w:val="both"/>
      </w:pPr>
      <w:r>
        <w:rPr>
          <w:rFonts w:ascii="Times New Roman" w:cs="Times New Roman" w:eastAsia="Times New Roman" w:hAnsi="Times New Roman"/>
          <w:sz w:val="20"/>
          <w:szCs w:val="20"/>
        </w:rPr>
        <w:t xml:space="preserve">[24] Tirunagari et al., "Face spoofing via visual dynamics," IEEE TIFS 2015.</w:t>
      </w:r>
    </w:p>
    <w:p>
      <w:pPr>
        <w:spacing w:after="50" w:before="0" w:line="240"/>
        <w:jc w:val="both"/>
      </w:pPr>
      <w:r>
        <w:rPr>
          <w:rFonts w:ascii="Times New Roman" w:cs="Times New Roman" w:eastAsia="Times New Roman" w:hAnsi="Times New Roman"/>
          <w:sz w:val="20"/>
          <w:szCs w:val="20"/>
        </w:rPr>
        <w:t xml:space="preserve">[25] Li et al., "Celeb-DF," CVPR 2020.</w:t>
      </w:r>
    </w:p>
    <w:p>
      <w:pPr>
        <w:spacing w:after="50" w:before="0" w:line="240"/>
        <w:jc w:val="both"/>
      </w:pPr>
      <w:r>
        <w:rPr>
          <w:rFonts w:ascii="Times New Roman" w:cs="Times New Roman" w:eastAsia="Times New Roman" w:hAnsi="Times New Roman"/>
          <w:sz w:val="20"/>
          <w:szCs w:val="20"/>
        </w:rPr>
        <w:t xml:space="preserve">[26] Zhang et al., "Body-face geometric consistency," FG 2023.</w:t>
      </w:r>
    </w:p>
    <w:p>
      <w:pPr>
        <w:spacing w:after="50" w:before="0" w:line="240"/>
        <w:jc w:val="both"/>
      </w:pPr>
      <w:r>
        <w:rPr>
          <w:rFonts w:ascii="Times New Roman" w:cs="Times New Roman" w:eastAsia="Times New Roman" w:hAnsi="Times New Roman"/>
          <w:sz w:val="20"/>
          <w:szCs w:val="20"/>
        </w:rPr>
        <w:t xml:space="preserve">[27] Cockburn, "Hexagonal architecture," 2005.</w:t>
      </w:r>
    </w:p>
    <w:p>
      <w:pPr>
        <w:spacing w:after="50" w:before="0" w:line="240"/>
        <w:jc w:val="both"/>
      </w:pPr>
      <w:r>
        <w:rPr>
          <w:rFonts w:ascii="Times New Roman" w:cs="Times New Roman" w:eastAsia="Times New Roman" w:hAnsi="Times New Roman"/>
          <w:sz w:val="20"/>
          <w:szCs w:val="20"/>
        </w:rPr>
        <w:t xml:space="preserve">[28] Serengil &amp; Ozpinar, "LightFace/DeepFace," ASYU 2020.</w:t>
      </w:r>
    </w:p>
    <w:p>
      <w:pPr>
        <w:spacing w:after="50" w:before="0" w:line="240"/>
        <w:jc w:val="both"/>
      </w:pPr>
      <w:r>
        <w:rPr>
          <w:rFonts w:ascii="Times New Roman" w:cs="Times New Roman" w:eastAsia="Times New Roman" w:hAnsi="Times New Roman"/>
          <w:sz w:val="20"/>
          <w:szCs w:val="20"/>
        </w:rPr>
        <w:t xml:space="preserve">[29] Kartynnik et al., "Real-time facial geometry," CVPR-W 2019.</w:t>
      </w:r>
    </w:p>
    <w:p>
      <w:pPr>
        <w:spacing w:after="50" w:before="0" w:line="240"/>
        <w:jc w:val="both"/>
      </w:pPr>
      <w:r>
        <w:rPr>
          <w:rFonts w:ascii="Times New Roman" w:cs="Times New Roman" w:eastAsia="Times New Roman" w:hAnsi="Times New Roman"/>
          <w:sz w:val="20"/>
          <w:szCs w:val="20"/>
        </w:rPr>
        <w:t xml:space="preserve">[30] pgvector: Vector similarity search for Postgres, 2023.</w:t>
      </w:r>
    </w:p>
    <w:p>
      <w:pPr>
        <w:spacing w:after="50" w:before="0" w:line="240"/>
        <w:jc w:val="both"/>
      </w:pPr>
      <w:r>
        <w:rPr>
          <w:rFonts w:ascii="Times New Roman" w:cs="Times New Roman" w:eastAsia="Times New Roman" w:hAnsi="Times New Roman"/>
          <w:sz w:val="20"/>
          <w:szCs w:val="20"/>
        </w:rPr>
        <w:t xml:space="preserve">[31] van der Walt et al., "scikit-image," PeerJ 2014.</w:t>
      </w:r>
    </w:p>
    <w:p>
      <w:pPr>
        <w:spacing w:after="50" w:before="0" w:line="240"/>
        <w:jc w:val="both"/>
      </w:pPr>
      <w:r>
        <w:rPr>
          <w:rFonts w:ascii="Times New Roman" w:cs="Times New Roman" w:eastAsia="Times New Roman" w:hAnsi="Times New Roman"/>
          <w:sz w:val="20"/>
          <w:szCs w:val="20"/>
        </w:rPr>
        <w:t xml:space="preserve">[32] Boulkenafet et al., "OULU-NPU database," FG 2017.</w:t>
      </w:r>
    </w:p>
    <w:p>
      <w:pPr>
        <w:spacing w:after="50" w:before="0" w:line="240"/>
        <w:jc w:val="both"/>
      </w:pPr>
      <w:r>
        <w:rPr>
          <w:rFonts w:ascii="Times New Roman" w:cs="Times New Roman" w:eastAsia="Times New Roman" w:hAnsi="Times New Roman"/>
          <w:sz w:val="20"/>
          <w:szCs w:val="20"/>
        </w:rPr>
        <w:t xml:space="preserve">[33] Chingovska et al., "Replay-Attack," BIOSIG 2012.</w:t>
      </w:r>
    </w:p>
    <w:p>
      <w:pPr>
        <w:spacing w:after="50" w:before="0" w:line="240"/>
        <w:jc w:val="both"/>
      </w:pPr>
      <w:r>
        <w:rPr>
          <w:rFonts w:ascii="Times New Roman" w:cs="Times New Roman" w:eastAsia="Times New Roman" w:hAnsi="Times New Roman"/>
          <w:sz w:val="20"/>
          <w:szCs w:val="20"/>
        </w:rPr>
        <w:t xml:space="preserve">[34] Mai et al., "Reconstruction from templates," IEEE TPAMI 2019.</w:t>
      </w:r>
    </w:p>
    <w:p>
      <w:pPr>
        <w:spacing w:after="50" w:before="0" w:line="240"/>
        <w:jc w:val="both"/>
      </w:pPr>
      <w:r>
        <w:rPr>
          <w:rFonts w:ascii="Times New Roman" w:cs="Times New Roman" w:eastAsia="Times New Roman" w:hAnsi="Times New Roman"/>
          <w:sz w:val="20"/>
          <w:szCs w:val="20"/>
        </w:rPr>
        <w:t xml:space="preserve">[35] Nandakumar et al., "Fuzzy vault," IEEE TIFS 2007.</w:t>
      </w:r>
    </w:p>
    <w:p>
      <w:pPr>
        <w:spacing w:after="50" w:before="0" w:line="240"/>
        <w:jc w:val="both"/>
      </w:pPr>
      <w:r>
        <w:rPr>
          <w:rFonts w:ascii="Times New Roman" w:cs="Times New Roman" w:eastAsia="Times New Roman" w:hAnsi="Times New Roman"/>
          <w:sz w:val="20"/>
          <w:szCs w:val="20"/>
        </w:rPr>
        <w:t xml:space="preserve">[36] Evans, "Domain-Driven Design," Addison-Wesley 2003.</w:t>
      </w:r>
    </w:p>
    <w:p>
      <w:pPr>
        <w:spacing w:after="50" w:before="0" w:line="240"/>
        <w:jc w:val="both"/>
      </w:pPr>
      <w:r>
        <w:rPr>
          <w:rFonts w:ascii="Times New Roman" w:cs="Times New Roman" w:eastAsia="Times New Roman" w:hAnsi="Times New Roman"/>
          <w:sz w:val="20"/>
          <w:szCs w:val="20"/>
        </w:rPr>
        <w:t xml:space="preserve">[37] KVKK Law No. 6698, 2016.</w:t>
      </w:r>
    </w:p>
    <w:p>
      <w:pPr>
        <w:spacing w:after="50" w:before="0" w:line="240"/>
        <w:jc w:val="both"/>
      </w:pPr>
      <w:r>
        <w:rPr>
          <w:rFonts w:ascii="Times New Roman" w:cs="Times New Roman" w:eastAsia="Times New Roman" w:hAnsi="Times New Roman"/>
          <w:sz w:val="20"/>
          <w:szCs w:val="20"/>
        </w:rPr>
        <w:t xml:space="preserve">[38] GDPR Art. 9: Special categories of personal data.</w:t>
      </w:r>
    </w:p>
    <w:sectPr>
      <w:headerReference w:type="default" r:id="rId7"/>
      <w:footerReference w:type="default" r:id="rId8"/>
      <w:pgSz w:w="12240" w:h="15840" w:orient="portrait"/>
      <w:pgMar w:top="1440" w:right="1296" w:bottom="1440" w:left="1296"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6"/>
        <w:szCs w:val="16"/>
      </w:rPr>
      <w:t xml:space="preserve">FIVUCSAS: Multi-Modal PAD with Cross-Modal Binding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2026-05-16T14:49:24.095Z</dcterms:created>
  <dcterms:modified xsi:type="dcterms:W3CDTF">2026-05-16T14:49:24.096Z</dcterms:modified>
</cp:coreProperties>
</file>

<file path=docProps/custom.xml><?xml version="1.0" encoding="utf-8"?>
<Properties xmlns="http://schemas.openxmlformats.org/officeDocument/2006/custom-properties" xmlns:vt="http://schemas.openxmlformats.org/officeDocument/2006/docPropsVTypes"/>
</file>