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3.10.SRF: Odds ratios for sex stratified PA exposures and SRF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Sex</w:t>
            </w:r>
          </w:p>
        </w:tc>
        <w:tc>
          <w:p>
            <w:pPr>
              <w:pStyle w:val="Normal"/>
            </w:pPr>
            <w:r>
              <w:t>Fracture_type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OR</w:t>
            </w:r>
          </w:p>
        </w:tc>
        <w:tc>
          <w:p>
            <w:pPr>
              <w:pStyle w:val="Normal"/>
            </w:pPr>
            <w:r>
              <w:t>95% CI lower</w:t>
            </w:r>
          </w:p>
        </w:tc>
        <w:tc>
          <w:p>
            <w:pPr>
              <w:pStyle w:val="Normal"/>
            </w:pPr>
            <w:r>
              <w:t>95% CI upper</w:t>
            </w:r>
          </w:p>
        </w:tc>
        <w:tc>
          <w:p>
            <w:pPr>
              <w:pStyle w:val="Normal"/>
            </w:pPr>
            <w:r>
              <w:t>p-value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2026-02-10T15:55:33Z</dcterms:modified>
  <cp:category/>
</cp:coreProperties>
</file>