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Table 3.10.Wrist: Odds ratios for sex stratified PA exposures and Wrist</w:t>
      </w:r>
    </w:p>
    <w:p>
      <w:pPr>
        <w:pStyle w:val="Normal"/>
      </w:pPr>
      <w:r>
        <w:t xml:space="preserve"/>
      </w:r>
    </w:p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Sex</w:t>
            </w:r>
          </w:p>
        </w:tc>
        <w:tc>
          <w:p>
            <w:pPr>
              <w:pStyle w:val="Normal"/>
            </w:pPr>
            <w:r>
              <w:t>Fracture_type</w:t>
            </w:r>
          </w:p>
        </w:tc>
        <w:tc>
          <w:p>
            <w:pPr>
              <w:pStyle w:val="Normal"/>
            </w:pPr>
            <w:r>
              <w:t>term</w:t>
            </w:r>
          </w:p>
        </w:tc>
        <w:tc>
          <w:p>
            <w:pPr>
              <w:pStyle w:val="Normal"/>
            </w:pPr>
            <w:r>
              <w:t>OR</w:t>
            </w:r>
          </w:p>
        </w:tc>
        <w:tc>
          <w:p>
            <w:pPr>
              <w:pStyle w:val="Normal"/>
            </w:pPr>
            <w:r>
              <w:t>95% CI lower</w:t>
            </w:r>
          </w:p>
        </w:tc>
        <w:tc>
          <w:p>
            <w:pPr>
              <w:pStyle w:val="Normal"/>
            </w:pPr>
            <w:r>
              <w:t>95% CI upper</w:t>
            </w:r>
          </w:p>
        </w:tc>
        <w:tc>
          <w:p>
            <w:pPr>
              <w:pStyle w:val="Normal"/>
            </w:pPr>
            <w:r>
              <w:t>p-value</w:t>
            </w:r>
          </w:p>
        </w:tc>
      </w:tr>
      <w:tr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oe23985</cp:lastModifiedBy>
  <cp:revision>9</cp:revision>
  <dcterms:created xsi:type="dcterms:W3CDTF">2017-02-28T11:18:00Z</dcterms:created>
  <dcterms:modified xsi:type="dcterms:W3CDTF">2026-02-10T15:55:34Z</dcterms:modified>
  <cp:category/>
</cp:coreProperties>
</file>