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3.4: Summary statistics on MVPA baseline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4"/>
        <w:gridCol w:w="2012"/>
        <w:gridCol w:w="1206"/>
        <w:gridCol w:w="1267"/>
        <w:gridCol w:w="1267"/>
        <w:gridCol w:w="1132"/>
        <w:gridCol w:w="765"/>
        <w:gridCol w:w="1084"/>
        <w:gridCol w:w="1254"/>
        <w:gridCol w:w="1340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IQR_high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mins_wk_MVPA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171,043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324.02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481.23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MET_MVPA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1,599.97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2,346.96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mins_wk_MVPA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MET_MVPA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2,028.85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3,346.82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2,400</w:t>
            </w:r>
          </w:p>
        </w:tc>
      </w:tr>
      <w:tr>
        <w:trPr>
          <w:trHeight w:val="59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mins_wk_MVPA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MET_MVPA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1,801.57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2,868.80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90,720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2026-02-02T08:18:55Z</dcterms:modified>
  <cp:category/>
</cp:coreProperties>
</file>