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3.5: Summary statistics on PA variables at baseline by fracture status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621"/>
        <w:gridCol w:w="1206"/>
        <w:gridCol w:w="1267"/>
        <w:gridCol w:w="1267"/>
        <w:gridCol w:w="1132"/>
        <w:gridCol w:w="765"/>
        <w:gridCol w:w="1084"/>
        <w:gridCol w:w="1254"/>
        <w:gridCol w:w="1340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Fracture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IQR_high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292,665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1,040.97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1,776.11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292,665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1,565.01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292,665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1,773.41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2,160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MET_walk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292,665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1,209.39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1,386</w:t>
            </w:r>
          </w:p>
        </w:tc>
      </w:tr>
      <w:tr>
        <w:trPr>
          <w:trHeight w:val="57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1,197.37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1,958.92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1,440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1,798.05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1,080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2,520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MET_walk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1,326.53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1,919.99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1,386</w:t>
            </w:r>
          </w:p>
        </w:tc>
      </w:tr>
      <w:tr>
        <w:trPr>
          <w:trHeight w:val="57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1,055.55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MET_MVPA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2,868.80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MET_walk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1,386</w:t>
            </w:r>
          </w:p>
        </w:tc>
      </w:tr>
      <w:tr>
        <w:trPr>
          <w:trHeight w:val="411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2026-02-02T08:18:56Z</dcterms:modified>
  <cp:category/>
</cp:coreProperties>
</file>