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Flower Power – Cadre de voix de marque</w:t>
      </w:r>
    </w:p>
    <w:p>
      <w:r>
        <w:t>Document de référence stratégique – à lire avant toute création de contenu.</w:t>
      </w:r>
    </w:p>
    <w:p>
      <w:pPr>
        <w:pStyle w:val="Heading2"/>
      </w:pPr>
      <w:r>
        <w:t>Mission</w:t>
      </w:r>
    </w:p>
    <w:p>
      <w:r>
        <w:t>Rendre les fleurs fraîches, responsables et de saison accessibles à tous les professionnels et à tous les foyers.</w:t>
      </w:r>
    </w:p>
    <w:p>
      <w:pPr>
        <w:pStyle w:val="Heading2"/>
      </w:pPr>
      <w:r>
        <w:t>Vision</w:t>
      </w:r>
    </w:p>
    <w:p>
      <w:r>
        <w:t>Devenir d'ici 2030 la référence européenne de la distribution florale responsable, en faisant de chaque bouquet un lien entre le producteur et celui qui le reçoit.</w:t>
      </w:r>
    </w:p>
    <w:p>
      <w:pPr>
        <w:pStyle w:val="Heading2"/>
      </w:pPr>
      <w:r>
        <w:t>Valeurs</w:t>
      </w:r>
    </w:p>
    <w:p>
      <w:pPr>
        <w:pStyle w:val="ListBullet"/>
      </w:pPr>
      <w:r>
        <w:t>Fraîcheur : nous livrons des fleurs coupées depuis moins de 48 h.</w:t>
      </w:r>
    </w:p>
    <w:p>
      <w:pPr>
        <w:pStyle w:val="ListBullet"/>
      </w:pPr>
      <w:r>
        <w:t>Respect : des producteurs, des saisons, de la planète et de nos clients.</w:t>
      </w:r>
    </w:p>
    <w:p>
      <w:pPr>
        <w:pStyle w:val="ListBullet"/>
      </w:pPr>
      <w:r>
        <w:t>Transparence : nous disons d'où viennent nos fleurs et comment elles sont cultivées.</w:t>
      </w:r>
    </w:p>
    <w:p>
      <w:pPr>
        <w:pStyle w:val="ListBullet"/>
      </w:pPr>
      <w:r>
        <w:t>Créativité : nous inspirons nos clients avec des idées de compositions.</w:t>
      </w:r>
    </w:p>
    <w:p>
      <w:pPr>
        <w:pStyle w:val="Heading2"/>
      </w:pPr>
      <w:r>
        <w:t>Les quatre piliers de notre voix</w:t>
      </w:r>
    </w:p>
    <w:tbl>
      <w:tblPr>
        <w:tblStyle w:val="LightGrid-Accent6"/>
        <w:tblW w:type="auto" w:w="0"/>
        <w:tblLook w:firstColumn="1" w:firstRow="1" w:lastColumn="0" w:lastRow="0" w:noHBand="0" w:noVBand="1" w:val="04A0"/>
      </w:tblPr>
      <w:tblGrid>
        <w:gridCol w:w="2880"/>
        <w:gridCol w:w="2880"/>
        <w:gridCol w:w="2880"/>
      </w:tblGrid>
      <w:tr>
        <w:tc>
          <w:tcPr>
            <w:tcW w:type="dxa" w:w="2880"/>
          </w:tcPr>
          <w:p>
            <w:r>
              <w:t>Pilier</w:t>
            </w:r>
          </w:p>
        </w:tc>
        <w:tc>
          <w:tcPr>
            <w:tcW w:type="dxa" w:w="2880"/>
          </w:tcPr>
          <w:p>
            <w:r>
              <w:t>C'est…</w:t>
            </w:r>
          </w:p>
        </w:tc>
        <w:tc>
          <w:tcPr>
            <w:tcW w:type="dxa" w:w="2880"/>
          </w:tcPr>
          <w:p>
            <w:r>
              <w:t>Ce n'est pas…</w:t>
            </w:r>
          </w:p>
        </w:tc>
      </w:tr>
      <w:tr>
        <w:tc>
          <w:tcPr>
            <w:tcW w:type="dxa" w:w="2880"/>
          </w:tcPr>
          <w:p>
            <w:r>
              <w:t>Chaleureuse</w:t>
            </w:r>
          </w:p>
        </w:tc>
        <w:tc>
          <w:tcPr>
            <w:tcW w:type="dxa" w:w="2880"/>
          </w:tcPr>
          <w:p>
            <w:r>
              <w:t>accueillant, bienveillant, proche</w:t>
            </w:r>
          </w:p>
        </w:tc>
        <w:tc>
          <w:tcPr>
            <w:tcW w:type="dxa" w:w="2880"/>
          </w:tcPr>
          <w:p>
            <w:r>
              <w:t>mièvre, familier, infantilisant</w:t>
            </w:r>
          </w:p>
        </w:tc>
      </w:tr>
      <w:tr>
        <w:tc>
          <w:tcPr>
            <w:tcW w:type="dxa" w:w="2880"/>
          </w:tcPr>
          <w:p>
            <w:r>
              <w:t>Experte</w:t>
            </w:r>
          </w:p>
        </w:tc>
        <w:tc>
          <w:tcPr>
            <w:tcW w:type="dxa" w:w="2880"/>
          </w:tcPr>
          <w:p>
            <w:r>
              <w:t>précis, pédagogue, rassurant</w:t>
            </w:r>
          </w:p>
        </w:tc>
        <w:tc>
          <w:tcPr>
            <w:tcW w:type="dxa" w:w="2880"/>
          </w:tcPr>
          <w:p>
            <w:r>
              <w:t>jargonneux, condescendant</w:t>
            </w:r>
          </w:p>
        </w:tc>
      </w:tr>
      <w:tr>
        <w:tc>
          <w:tcPr>
            <w:tcW w:type="dxa" w:w="2880"/>
          </w:tcPr>
          <w:p>
            <w:r>
              <w:t>Authentique</w:t>
            </w:r>
          </w:p>
        </w:tc>
        <w:tc>
          <w:tcPr>
            <w:tcW w:type="dxa" w:w="2880"/>
          </w:tcPr>
          <w:p>
            <w:r>
              <w:t>honnête, concret, sourcé</w:t>
            </w:r>
          </w:p>
        </w:tc>
        <w:tc>
          <w:tcPr>
            <w:tcW w:type="dxa" w:w="2880"/>
          </w:tcPr>
          <w:p>
            <w:r>
              <w:t>exagéré, greenwashing, superlatifs vides</w:t>
            </w:r>
          </w:p>
        </w:tc>
      </w:tr>
      <w:tr>
        <w:tc>
          <w:tcPr>
            <w:tcW w:type="dxa" w:w="2880"/>
          </w:tcPr>
          <w:p>
            <w:r>
              <w:t>Inspirante</w:t>
            </w:r>
          </w:p>
        </w:tc>
        <w:tc>
          <w:tcPr>
            <w:tcW w:type="dxa" w:w="2880"/>
          </w:tcPr>
          <w:p>
            <w:r>
              <w:t>sensoriel, poétique avec mesure, créatif</w:t>
            </w:r>
          </w:p>
        </w:tc>
        <w:tc>
          <w:tcPr>
            <w:tcW w:type="dxa" w:w="2880"/>
          </w:tcPr>
          <w:p>
            <w:r>
              <w:t>lyrique, pompeux, abstrait</w:t>
            </w:r>
          </w:p>
        </w:tc>
      </w:tr>
    </w:tbl>
    <w:p/>
    <w:p>
      <w:pPr>
        <w:pStyle w:val="Heading2"/>
      </w:pPr>
      <w:r>
        <w:t>Nos publics actuels</w:t>
      </w:r>
    </w:p>
    <w:p>
      <w:r>
        <w:t>Persona 1 – Sophie, fleuriste indépendante (45 ans). Elle cherche un fournisseur fiable, des prix stables et des variétés originales. Elle attend de nous un partenaire, pas un vendeur.</w:t>
      </w:r>
    </w:p>
    <w:p>
      <w:r>
        <w:t>Persona 2 – Marc, responsable achats hôtellerie (50 ans). Il veut de la régularité, des factures claires et un interlocuteur réactif.</w:t>
      </w:r>
    </w:p>
    <w:p>
      <w:r>
        <w:t>Persona 3 – Claire, particulière (40-60 ans). Elle offre des fleurs pour les grandes occasions (fête des mères, anniversaires, deuil) et apprécie la qualité et le conseil.</w:t>
      </w:r>
    </w:p>
    <w:p>
      <w:pPr>
        <w:pStyle w:val="Heading2"/>
      </w:pPr>
      <w:r>
        <w:t>Public émergent à explorer</w:t>
      </w:r>
    </w:p>
    <w:p>
      <w:r>
        <w:t>Les 25-35 ans urbains, qui achètent des fleurs pour eux-mêmes, valorisent la durabilité, s'informent sur Instagram et TikTok et privilégient l'abonnement. Ce public n'est pas encore couvert par nos directives : toute adaptation de la voix doit être validée par la direction marketing.</w:t>
      </w:r>
    </w:p>
    <w:p>
      <w:pPr>
        <w:pStyle w:val="Heading2"/>
      </w:pPr>
      <w:r>
        <w:t>Positionnement</w:t>
      </w:r>
    </w:p>
    <w:p>
      <w:r>
        <w:t>Pour les professionnels et les amoureux des fleurs qui veulent de la qualité sans compromis sur l'éthique, Flower Power est le distributeur qui relie directement les producteurs responsables aux fleuristes et aux foyers, avec une fraîcheur garantie en 24 h.</w:t>
      </w:r>
    </w:p>
    <w:p>
      <w:pPr>
        <w:pStyle w:val="Heading2"/>
      </w:pPr>
      <w:r>
        <w:t>Signature de marque</w:t>
      </w:r>
    </w:p>
    <w:p>
      <w:r>
        <w:t>« Flower Power – La fraîcheur cultivée avec soin.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