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E88" w:rsidRPr="00173E88" w:rsidRDefault="00173E88" w:rsidP="00173E8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Подробные требования к морским операциям в пределах зоны безопасности </w:t>
      </w:r>
      <w:proofErr w:type="spellStart"/>
      <w:r w:rsidRPr="00173E88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 приведены в таблице ниже.</w:t>
      </w:r>
    </w:p>
    <w:p w:rsidR="00C5469A" w:rsidRPr="00173E88" w:rsidRDefault="00C5469A" w:rsidP="00C5469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Ind w:w="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5"/>
        <w:gridCol w:w="853"/>
        <w:gridCol w:w="1366"/>
        <w:gridCol w:w="1328"/>
        <w:gridCol w:w="1277"/>
        <w:gridCol w:w="1280"/>
        <w:gridCol w:w="1179"/>
      </w:tblGrid>
      <w:tr w:rsidR="00C5469A" w:rsidRPr="00C5469A" w:rsidTr="00363B4A">
        <w:trPr>
          <w:trHeight w:val="614"/>
        </w:trPr>
        <w:tc>
          <w:tcPr>
            <w:tcW w:w="8968" w:type="dxa"/>
            <w:gridSpan w:val="7"/>
            <w:shd w:val="clear" w:color="auto" w:fill="F1F1F1"/>
          </w:tcPr>
          <w:p w:rsidR="00173E88" w:rsidRPr="00173E88" w:rsidRDefault="00173E88" w:rsidP="00173E8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73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Подробные требования к морским операциям в пределах зоны безопасности </w:t>
            </w:r>
            <w:proofErr w:type="spellStart"/>
            <w:r w:rsidRPr="00173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Гёа</w:t>
            </w:r>
            <w:proofErr w:type="spellEnd"/>
            <w:r w:rsidRPr="00173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приведены в таблице ниже.</w:t>
            </w:r>
          </w:p>
          <w:p w:rsidR="00C5469A" w:rsidRPr="00173E88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C5469A" w:rsidRPr="00C5469A" w:rsidTr="00363B4A">
        <w:trPr>
          <w:trHeight w:val="1667"/>
        </w:trPr>
        <w:tc>
          <w:tcPr>
            <w:tcW w:w="1685" w:type="dxa"/>
            <w:shd w:val="clear" w:color="auto" w:fill="F1F1F1"/>
          </w:tcPr>
          <w:p w:rsidR="00C5469A" w:rsidRPr="00173E88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53" w:type="dxa"/>
            <w:shd w:val="clear" w:color="auto" w:fill="F1F1F1"/>
          </w:tcPr>
          <w:p w:rsidR="00C5469A" w:rsidRPr="00C5469A" w:rsidRDefault="00173E88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Уровень</w:t>
            </w:r>
            <w:proofErr w:type="spellEnd"/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1 WP</w:t>
            </w:r>
          </w:p>
        </w:tc>
        <w:tc>
          <w:tcPr>
            <w:tcW w:w="1366" w:type="dxa"/>
            <w:shd w:val="clear" w:color="auto" w:fill="F1F1F1"/>
          </w:tcPr>
          <w:p w:rsidR="00C5469A" w:rsidRPr="00173E88" w:rsidRDefault="00173E88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Позиционирование смежных компонентов нанесено на карту</w:t>
            </w:r>
          </w:p>
        </w:tc>
        <w:tc>
          <w:tcPr>
            <w:tcW w:w="1328" w:type="dxa"/>
            <w:shd w:val="clear" w:color="auto" w:fill="F1F1F1"/>
          </w:tcPr>
          <w:p w:rsidR="00C5469A" w:rsidRPr="00173E88" w:rsidRDefault="00173E88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Остановка производства и </w:t>
            </w:r>
            <w:proofErr w:type="spellStart"/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депрессуризация</w:t>
            </w:r>
            <w:proofErr w:type="spellEnd"/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углеводородных трубопроводов</w:t>
            </w:r>
          </w:p>
        </w:tc>
        <w:tc>
          <w:tcPr>
            <w:tcW w:w="1277" w:type="dxa"/>
            <w:shd w:val="clear" w:color="auto" w:fill="F1F1F1"/>
          </w:tcPr>
          <w:p w:rsidR="00C5469A" w:rsidRPr="00C5469A" w:rsidRDefault="00173E88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Сценарий</w:t>
            </w:r>
            <w:proofErr w:type="spellEnd"/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дрейфа</w:t>
            </w:r>
            <w:proofErr w:type="spellEnd"/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или</w:t>
            </w:r>
            <w:proofErr w:type="spellEnd"/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сноса</w:t>
            </w:r>
            <w:proofErr w:type="spellEnd"/>
          </w:p>
        </w:tc>
        <w:tc>
          <w:tcPr>
            <w:tcW w:w="1280" w:type="dxa"/>
            <w:shd w:val="clear" w:color="auto" w:fill="F1F1F1"/>
          </w:tcPr>
          <w:p w:rsidR="00C5469A" w:rsidRPr="00173E88" w:rsidRDefault="00173E88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Нос или кормовая часть судна не направлены на трубопроводы или силовой кабель</w:t>
            </w:r>
          </w:p>
        </w:tc>
        <w:tc>
          <w:tcPr>
            <w:tcW w:w="1179" w:type="dxa"/>
            <w:shd w:val="clear" w:color="auto" w:fill="F1F1F1"/>
          </w:tcPr>
          <w:p w:rsidR="00C5469A" w:rsidRPr="00173E88" w:rsidRDefault="00173E88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73E8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ЦПР проинформирован о выполненной операции</w:t>
            </w:r>
          </w:p>
        </w:tc>
      </w:tr>
      <w:tr w:rsidR="00C5469A" w:rsidRPr="00C5469A" w:rsidTr="00363B4A">
        <w:trPr>
          <w:trHeight w:val="781"/>
        </w:trPr>
        <w:tc>
          <w:tcPr>
            <w:tcW w:w="1685" w:type="dxa"/>
            <w:shd w:val="clear" w:color="auto" w:fill="F1F1F1"/>
          </w:tcPr>
          <w:p w:rsidR="00C5469A" w:rsidRPr="00C5469A" w:rsidRDefault="00173E88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73E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Судно</w:t>
            </w:r>
            <w:proofErr w:type="spellEnd"/>
            <w:r w:rsidRPr="00173E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173E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зоне</w:t>
            </w:r>
            <w:proofErr w:type="spellEnd"/>
            <w:r w:rsidRPr="00173E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73E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безопасности</w:t>
            </w:r>
            <w:proofErr w:type="spellEnd"/>
          </w:p>
        </w:tc>
        <w:tc>
          <w:tcPr>
            <w:tcW w:w="853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366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28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7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80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9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</w:tr>
      <w:tr w:rsidR="00C5469A" w:rsidRPr="00C5469A" w:rsidTr="00363B4A">
        <w:trPr>
          <w:trHeight w:val="837"/>
        </w:trPr>
        <w:tc>
          <w:tcPr>
            <w:tcW w:w="1685" w:type="dxa"/>
            <w:shd w:val="clear" w:color="auto" w:fill="F1F1F1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173E88" w:rsidRDefault="00173E88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73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Судно в зоне подводной осторожности</w:t>
            </w:r>
          </w:p>
        </w:tc>
        <w:tc>
          <w:tcPr>
            <w:tcW w:w="853" w:type="dxa"/>
          </w:tcPr>
          <w:p w:rsidR="00C5469A" w:rsidRPr="00173E88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366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328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7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X </w:t>
            </w:r>
            <w:r w:rsidRPr="00C546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</w:t>
            </w:r>
          </w:p>
        </w:tc>
        <w:tc>
          <w:tcPr>
            <w:tcW w:w="1280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179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</w:tr>
      <w:tr w:rsidR="00C5469A" w:rsidRPr="00C5469A" w:rsidTr="00363B4A">
        <w:trPr>
          <w:trHeight w:val="832"/>
        </w:trPr>
        <w:tc>
          <w:tcPr>
            <w:tcW w:w="1685" w:type="dxa"/>
            <w:shd w:val="clear" w:color="auto" w:fill="F1F1F1"/>
          </w:tcPr>
          <w:p w:rsidR="00C5469A" w:rsidRPr="00173E88" w:rsidRDefault="00173E88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73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Судно на северной или южной стороне </w:t>
            </w:r>
            <w:proofErr w:type="spellStart"/>
            <w:r w:rsidRPr="00173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Гёа</w:t>
            </w:r>
            <w:proofErr w:type="spellEnd"/>
            <w:r w:rsidRPr="00173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  <w:tc>
          <w:tcPr>
            <w:tcW w:w="853" w:type="dxa"/>
          </w:tcPr>
          <w:p w:rsidR="00C5469A" w:rsidRPr="00173E88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366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  <w:p w:rsidR="00C5469A" w:rsidRPr="00173E88" w:rsidRDefault="00C5469A" w:rsidP="00173E8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46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173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якоря)</w:t>
            </w:r>
          </w:p>
        </w:tc>
        <w:tc>
          <w:tcPr>
            <w:tcW w:w="1328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7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80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179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</w:tr>
      <w:tr w:rsidR="00C5469A" w:rsidRPr="00C5469A" w:rsidTr="00363B4A">
        <w:trPr>
          <w:trHeight w:val="861"/>
        </w:trPr>
        <w:tc>
          <w:tcPr>
            <w:tcW w:w="1685" w:type="dxa"/>
            <w:shd w:val="clear" w:color="auto" w:fill="F1F1F1"/>
          </w:tcPr>
          <w:p w:rsidR="00C5469A" w:rsidRPr="00173E88" w:rsidRDefault="00173E88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73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Судно в красной зоне трубопроводов – восточная сторона</w:t>
            </w:r>
          </w:p>
        </w:tc>
        <w:tc>
          <w:tcPr>
            <w:tcW w:w="853" w:type="dxa"/>
          </w:tcPr>
          <w:p w:rsidR="00C5469A" w:rsidRPr="00173E88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366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328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277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280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179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</w:tr>
      <w:tr w:rsidR="00C5469A" w:rsidRPr="00C5469A" w:rsidTr="00363B4A">
        <w:trPr>
          <w:trHeight w:val="974"/>
        </w:trPr>
        <w:tc>
          <w:tcPr>
            <w:tcW w:w="1685" w:type="dxa"/>
            <w:shd w:val="clear" w:color="auto" w:fill="F1F1F1"/>
          </w:tcPr>
          <w:p w:rsidR="00C5469A" w:rsidRPr="00173E88" w:rsidRDefault="00173E88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73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Судно в красной зоне </w:t>
            </w:r>
            <w:r w:rsidRPr="00173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трубопроводов и силового кабеля – западная сторона</w:t>
            </w:r>
          </w:p>
        </w:tc>
        <w:tc>
          <w:tcPr>
            <w:tcW w:w="853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366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328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X </w:t>
            </w:r>
            <w:r w:rsidRPr="00C546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2)</w:t>
            </w:r>
          </w:p>
        </w:tc>
        <w:tc>
          <w:tcPr>
            <w:tcW w:w="1277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280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179" w:type="dxa"/>
          </w:tcPr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C5469A" w:rsidRPr="00C5469A" w:rsidRDefault="00C5469A" w:rsidP="00C546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46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</w:tr>
    </w:tbl>
    <w:p w:rsidR="00C5469A" w:rsidRDefault="00C5469A" w:rsidP="00C5469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>Требование к сценарию дрейфа/сноса в зоне осторожности заключается в том, чтобы судно находилось в позиции, исключающей возможность попадания в красную зону.</w:t>
      </w: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Требуется остановка производства на Вега и </w:t>
      </w:r>
      <w:proofErr w:type="spellStart"/>
      <w:r w:rsidRPr="00173E88">
        <w:rPr>
          <w:rFonts w:ascii="Times New Roman" w:hAnsi="Times New Roman" w:cs="Times New Roman"/>
          <w:sz w:val="28"/>
          <w:szCs w:val="28"/>
          <w:lang w:val="ru-RU"/>
        </w:rPr>
        <w:t>депрессуризация</w:t>
      </w:r>
      <w:proofErr w:type="spellEnd"/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 трубопровода Вега.</w:t>
      </w: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В случае потери управления судном ЦПР должен быть немедленно проинформирован. Затем ЦПР предпримет действия в соответствии с соответствующими процедурами </w:t>
      </w:r>
      <w:r w:rsidRPr="00173E88">
        <w:rPr>
          <w:rFonts w:ascii="Times New Roman" w:hAnsi="Times New Roman" w:cs="Times New Roman"/>
          <w:sz w:val="28"/>
          <w:szCs w:val="28"/>
          <w:lang w:val="en-US"/>
        </w:rPr>
        <w:t>DFU</w:t>
      </w:r>
      <w:r w:rsidRPr="00173E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>Подъёмные операции</w:t>
      </w: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Все подъёмные операции над открытым морем или под водой должны соответствовать стандарту </w:t>
      </w:r>
      <w:r w:rsidRPr="00173E88">
        <w:rPr>
          <w:rFonts w:ascii="Times New Roman" w:hAnsi="Times New Roman" w:cs="Times New Roman"/>
          <w:sz w:val="28"/>
          <w:szCs w:val="28"/>
          <w:lang w:val="en-US"/>
        </w:rPr>
        <w:t>NORSOK</w:t>
      </w:r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73E8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73E88">
        <w:rPr>
          <w:rFonts w:ascii="Times New Roman" w:hAnsi="Times New Roman" w:cs="Times New Roman"/>
          <w:sz w:val="28"/>
          <w:szCs w:val="28"/>
          <w:lang w:val="ru-RU"/>
        </w:rPr>
        <w:t>-003.</w:t>
      </w: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Подъёмы, выполняемые полностью на борту судна, должны контролироваться системой управления безопасностью подрядчика и, при необходимости, проходить по разрешению на работу на судне. Все такие подъёмы должны проводиться за пределами зоны безопасности </w:t>
      </w:r>
      <w:proofErr w:type="spellStart"/>
      <w:r w:rsidRPr="00173E88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 и на расстоянии не менее 100 м в горизонтальном направлении от любых подводных объектов </w:t>
      </w:r>
      <w:proofErr w:type="spellStart"/>
      <w:r w:rsidRPr="00173E88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173E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Подрядчик должен подготовить и следовать плану подъёма для всех подводных подъёмов. Этот план должен быть утверждён представителем </w:t>
      </w:r>
      <w:r w:rsidRPr="00173E88">
        <w:rPr>
          <w:rFonts w:ascii="Times New Roman" w:hAnsi="Times New Roman" w:cs="Times New Roman"/>
          <w:sz w:val="28"/>
          <w:szCs w:val="28"/>
          <w:lang w:val="en-US"/>
        </w:rPr>
        <w:t>Neptune</w:t>
      </w:r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73E88">
        <w:rPr>
          <w:rFonts w:ascii="Times New Roman" w:hAnsi="Times New Roman" w:cs="Times New Roman"/>
          <w:sz w:val="28"/>
          <w:szCs w:val="28"/>
          <w:lang w:val="en-US"/>
        </w:rPr>
        <w:t>Energy</w:t>
      </w:r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 на смене до выполнения подъёма. Подводные подъёмы могут включать подъём или спуск модулей, узлов дроссельных клапанов или подводных инструментов с использованием направляющих тросов, а также открытие или закрытие панелей и люков на подводных конструкциях.</w:t>
      </w: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>Запуск и подъём дистанционно управляемых аппаратов (</w:t>
      </w:r>
      <w:r w:rsidRPr="00173E88">
        <w:rPr>
          <w:rFonts w:ascii="Times New Roman" w:hAnsi="Times New Roman" w:cs="Times New Roman"/>
          <w:sz w:val="28"/>
          <w:szCs w:val="28"/>
          <w:lang w:val="en-US"/>
        </w:rPr>
        <w:t>ROV</w:t>
      </w:r>
      <w:r w:rsidRPr="00173E88">
        <w:rPr>
          <w:rFonts w:ascii="Times New Roman" w:hAnsi="Times New Roman" w:cs="Times New Roman"/>
          <w:sz w:val="28"/>
          <w:szCs w:val="28"/>
          <w:lang w:val="ru-RU"/>
        </w:rPr>
        <w:t>) не требует планов подъёма.</w:t>
      </w: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 xml:space="preserve">Подъём тяжёлых предметов (например, модулей узлов дроссельных клапанов) на шаблоны или с них, или на спутниковую скважину </w:t>
      </w:r>
      <w:r w:rsidRPr="00173E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73E88">
        <w:rPr>
          <w:rFonts w:ascii="Times New Roman" w:hAnsi="Times New Roman" w:cs="Times New Roman"/>
          <w:sz w:val="28"/>
          <w:szCs w:val="28"/>
          <w:lang w:val="ru-RU"/>
        </w:rPr>
        <w:t>, обычно должен выполняться с использованием башни и системы направляющих тросов через лунный бассейн судна. Также, когда предмет находится на борту судна, он должен быть зафиксирован в системе управления тяжёлыми грузами или модулями. Подъём или выгрузка таких предметов, подвешенных на кране, должны быть избегаемы и выполняться только после тщательной формальной оценки рисков.</w:t>
      </w: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>Если предмет необходимо опустить на морское дно, но использование башни и/или направляющих тросов нецелесообразно или невозможно, судно должно сначала опустить предмет на глубину около 20 м над дном (или на безопасную высоту, принимая во внимание соседние подводные конструкции) на безопасном расстоянии в сторону (обычно 100 м) и по течению от ближайшего подводного объекта. Когда предмет достигнет этой глубины, судно и груз могут быть перемещены в окончательное положение. Подъём таких предметов на поверхность должен выполняться аналогичным образом, но в обратном порядке.</w:t>
      </w: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73E88" w:rsidRPr="00173E88" w:rsidRDefault="00173E88" w:rsidP="00173E8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3E88">
        <w:rPr>
          <w:rFonts w:ascii="Times New Roman" w:hAnsi="Times New Roman" w:cs="Times New Roman"/>
          <w:sz w:val="28"/>
          <w:szCs w:val="28"/>
          <w:lang w:val="ru-RU"/>
        </w:rPr>
        <w:t>(Безопасное расстояние в 100 м выбрано исходя из предположения, что глубина воды составляет 370 м и предмет, падающий на дно, будет отклоняться на 15 градусов по горизонтали. Однако в подобных ситуациях всегда следует применять здравый смысл: подъёмы между двумя трубопроводами могут потребовать излишнего удаления судна и, возможно, увеличить риск из-за перемещения груза на большие расстояния). Если предмет опускается на морское дно с использованием башни и направляющих тросов, судно должно находиться на расстоянии 50 м по течению от конструкции на начальном этапе подъёма, с минимальным натяжением направляющих тросов. Когда груз достигает 20 м над дном, судно должно медленно перемещаться в позицию небольшими шагами, увеличивая натяжение направляющих тросов для окончательной посадки груза. Подъём оборудования также должен выполняться аналогичным образом, но в обратном порядке.</w:t>
      </w:r>
    </w:p>
    <w:p w:rsidR="00C5469A" w:rsidRPr="00173E88" w:rsidRDefault="00C5469A" w:rsidP="00C5469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73A2">
        <w:rPr>
          <w:rFonts w:ascii="Times New Roman" w:hAnsi="Times New Roman" w:cs="Times New Roman"/>
          <w:sz w:val="28"/>
          <w:szCs w:val="28"/>
          <w:lang w:val="en-US"/>
        </w:rPr>
        <w:t>Neptune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Energy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разрешает выполнение некоторых подъёмных операций между судами на шельфе, но только при благоприятных местных условиях.</w:t>
      </w: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Подъёмы с использованием предметов, размещённых в контейнерах и корзинах, одобренных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DNV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, разрешены между полупогружной платформой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и судами подрядчика, и наоборот.</w:t>
      </w: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Подъёмы между судами с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монокорпусом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в районе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запрещены. Например, подъёмы между судами подрядчика с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монокорпусом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или между судном ожидания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и судном подрядчика, даже если одно из судов находится под прикрытием другого, не допускаются. Это связано с тем, что оба судна находятся в движении, что увеличивает риски при подъёме.</w:t>
      </w: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Если возникает необходимость передать предмет между такими судами с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монокорпусом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, его сначала нужно поднять на полупогружную платформу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, а затем опустить на судно назначения. Подъёмы с предметами в контейнерах и корзинах, одобренных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Neptune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Energy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, разрешены между судами подрядчика, если одно судно является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монокорпусным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, а другое — баржей или многокорпусным судном, которое больше и стабильнее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монокорпуса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. При этом подъём должен быть одобрен представителями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Neptune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Energy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на шельфе и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OIM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полупогружной платформы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73A2">
        <w:rPr>
          <w:rFonts w:ascii="Times New Roman" w:hAnsi="Times New Roman" w:cs="Times New Roman"/>
          <w:sz w:val="28"/>
          <w:szCs w:val="28"/>
          <w:lang w:val="ru-RU"/>
        </w:rPr>
        <w:t>Любые подъёмы между судами, которые не соответствуют указанным требованиям, должны выполняться либо в порту, либо в защищённых водах недалеко от берега.</w:t>
      </w: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23.2 Приложение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: Требования к доступности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ERRV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/судна ожидания на месторождении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73A2">
        <w:rPr>
          <w:rFonts w:ascii="Times New Roman" w:hAnsi="Times New Roman" w:cs="Times New Roman"/>
          <w:sz w:val="28"/>
          <w:szCs w:val="28"/>
          <w:lang w:val="ru-RU"/>
        </w:rPr>
        <w:t>23.2.1 Общие сведения</w:t>
      </w: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Ссылка на документ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en-US"/>
        </w:rPr>
        <w:t>Synergi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#39989 «Доступность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ERRV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- Оценка рисков». На регулярной основе судно ожидания на месторождении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должно покидать район для выполнения смены экипажа. Судно также может покидать месторождение для выполнения ремонтных работ, оказания услуг по снабжению платформы или участия в мероприятиях по классификации в соответствии с нормативными требованиями. В будущем судно ожидания может стать частью соглашения о готовности в рамках района с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en-US"/>
        </w:rPr>
        <w:t>Equinor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, и, по запросу, судно может быть вынуждено покинуть месторождение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для оказания услуг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en-US"/>
        </w:rPr>
        <w:t>Equinor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>. Это приложение определяет требования к доступности судна аварийного реагирования и спасения (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ERRV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) на месторождении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23.2.2 Основные функции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ERRV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и требования к их выполнению</w:t>
      </w:r>
    </w:p>
    <w:p w:rsidR="004F73A2" w:rsidRPr="004F73A2" w:rsidRDefault="004F73A2" w:rsidP="004F73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F73A2">
        <w:rPr>
          <w:rFonts w:ascii="Times New Roman" w:hAnsi="Times New Roman" w:cs="Times New Roman"/>
          <w:sz w:val="28"/>
          <w:szCs w:val="28"/>
          <w:lang w:val="en-US"/>
        </w:rPr>
        <w:t>ERRV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должно быть готово оказать помощь платформе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в любой ситуации, которая может возникнуть. Основные задачи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ERRV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заключаются в поддержке платформы в определённых ситуациях опасности и аварии (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DSHA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) в соответствии с планом аварийной готовности: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MSD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OANO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OA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-05-00005 -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Neptune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Energy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en-US"/>
        </w:rPr>
        <w:t>Beredskapsplan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en-US"/>
        </w:rPr>
        <w:t>Gj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>ø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semi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. Основные задачи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ERRV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приведены в таблице ниже. В случае отсутствия </w:t>
      </w:r>
      <w:r w:rsidRPr="004F73A2">
        <w:rPr>
          <w:rFonts w:ascii="Times New Roman" w:hAnsi="Times New Roman" w:cs="Times New Roman"/>
          <w:sz w:val="28"/>
          <w:szCs w:val="28"/>
          <w:lang w:val="en-US"/>
        </w:rPr>
        <w:t>ERRV</w:t>
      </w:r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на месторождении </w:t>
      </w:r>
      <w:proofErr w:type="spellStart"/>
      <w:r w:rsidRPr="004F73A2">
        <w:rPr>
          <w:rFonts w:ascii="Times New Roman" w:hAnsi="Times New Roman" w:cs="Times New Roman"/>
          <w:sz w:val="28"/>
          <w:szCs w:val="28"/>
          <w:lang w:val="ru-RU"/>
        </w:rPr>
        <w:t>Гёа</w:t>
      </w:r>
      <w:proofErr w:type="spellEnd"/>
      <w:r w:rsidRPr="004F73A2">
        <w:rPr>
          <w:rFonts w:ascii="Times New Roman" w:hAnsi="Times New Roman" w:cs="Times New Roman"/>
          <w:sz w:val="28"/>
          <w:szCs w:val="28"/>
          <w:lang w:val="ru-RU"/>
        </w:rPr>
        <w:t xml:space="preserve"> это должно быть компенсировано внедрением указанных в таблице мер безопасности.</w:t>
      </w:r>
    </w:p>
    <w:p w:rsidR="00C5469A" w:rsidRPr="004F73A2" w:rsidRDefault="00C5469A" w:rsidP="00C5469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9747" w:type="dxa"/>
        <w:tblLayout w:type="fixed"/>
        <w:tblLook w:val="04A0" w:firstRow="1" w:lastRow="0" w:firstColumn="1" w:lastColumn="0" w:noHBand="0" w:noVBand="1"/>
      </w:tblPr>
      <w:tblGrid>
        <w:gridCol w:w="6"/>
        <w:gridCol w:w="3221"/>
        <w:gridCol w:w="3105"/>
        <w:gridCol w:w="3415"/>
      </w:tblGrid>
      <w:tr w:rsidR="004F73A2" w:rsidRPr="00C5469A" w:rsidTr="00C5469A">
        <w:trPr>
          <w:gridBefore w:val="1"/>
          <w:wBefore w:w="6" w:type="dxa"/>
          <w:trHeight w:val="290"/>
        </w:trPr>
        <w:tc>
          <w:tcPr>
            <w:tcW w:w="3221" w:type="dxa"/>
          </w:tcPr>
          <w:p w:rsidR="004F73A2" w:rsidRPr="00DB4A22" w:rsidRDefault="004F73A2" w:rsidP="004F73A2">
            <w:r w:rsidRPr="00DB4A22">
              <w:t>Функция ERRV</w:t>
            </w:r>
          </w:p>
        </w:tc>
        <w:tc>
          <w:tcPr>
            <w:tcW w:w="3105" w:type="dxa"/>
          </w:tcPr>
          <w:p w:rsidR="004F73A2" w:rsidRPr="00DB4A22" w:rsidRDefault="004F73A2" w:rsidP="004F73A2">
            <w:r w:rsidRPr="00DB4A22">
              <w:t>Требование к выполнению</w:t>
            </w:r>
          </w:p>
        </w:tc>
        <w:tc>
          <w:tcPr>
            <w:tcW w:w="3415" w:type="dxa"/>
          </w:tcPr>
          <w:p w:rsidR="004F73A2" w:rsidRPr="00DB4A22" w:rsidRDefault="004F73A2" w:rsidP="004F73A2">
            <w:r w:rsidRPr="00DB4A22">
              <w:t>Меры безопасности</w:t>
            </w:r>
          </w:p>
        </w:tc>
      </w:tr>
      <w:tr w:rsidR="004F73A2" w:rsidRPr="00C5469A" w:rsidTr="00C5469A">
        <w:trPr>
          <w:gridBefore w:val="1"/>
          <w:wBefore w:w="6" w:type="dxa"/>
          <w:trHeight w:val="1163"/>
        </w:trPr>
        <w:tc>
          <w:tcPr>
            <w:tcW w:w="3221" w:type="dxa"/>
          </w:tcPr>
          <w:p w:rsidR="004F73A2" w:rsidRPr="00DB4A22" w:rsidRDefault="004F73A2" w:rsidP="004F73A2">
            <w:r w:rsidRPr="00DB4A22">
              <w:t>DSHA Человек за бортом</w:t>
            </w:r>
          </w:p>
        </w:tc>
        <w:tc>
          <w:tcPr>
            <w:tcW w:w="3105" w:type="dxa"/>
          </w:tcPr>
          <w:p w:rsidR="004F73A2" w:rsidRPr="00DB4A22" w:rsidRDefault="004F73A2" w:rsidP="004F73A2">
            <w:r w:rsidRPr="00DB4A22">
              <w:t>• Спасение человека за бортом</w:t>
            </w:r>
          </w:p>
        </w:tc>
        <w:tc>
          <w:tcPr>
            <w:tcW w:w="3415" w:type="dxa"/>
          </w:tcPr>
          <w:p w:rsidR="004F73A2" w:rsidRPr="00DB4A22" w:rsidRDefault="004F73A2" w:rsidP="004F73A2"/>
        </w:tc>
      </w:tr>
      <w:tr w:rsidR="004F73A2" w:rsidRPr="00C5469A" w:rsidTr="00C5469A">
        <w:trPr>
          <w:gridBefore w:val="1"/>
          <w:wBefore w:w="6" w:type="dxa"/>
          <w:trHeight w:val="1096"/>
        </w:trPr>
        <w:tc>
          <w:tcPr>
            <w:tcW w:w="3221" w:type="dxa"/>
          </w:tcPr>
          <w:p w:rsidR="004F73A2" w:rsidRPr="00DB4A22" w:rsidRDefault="004F73A2" w:rsidP="004F73A2">
            <w:r w:rsidRPr="00DB4A22">
              <w:t>• Один командир сцены</w:t>
            </w:r>
          </w:p>
        </w:tc>
        <w:tc>
          <w:tcPr>
            <w:tcW w:w="3105" w:type="dxa"/>
          </w:tcPr>
          <w:p w:rsidR="004F73A2" w:rsidRPr="00DB4A22" w:rsidRDefault="004F73A2" w:rsidP="004F73A2">
            <w:r w:rsidRPr="00DB4A22">
              <w:t>Ref. NOG 064: время реагирования для спасения человека — 8 минут.</w:t>
            </w:r>
          </w:p>
        </w:tc>
        <w:tc>
          <w:tcPr>
            <w:tcW w:w="3415" w:type="dxa"/>
          </w:tcPr>
          <w:p w:rsidR="004F73A2" w:rsidRPr="00DB4A22" w:rsidRDefault="004F73A2" w:rsidP="004F73A2"/>
        </w:tc>
      </w:tr>
      <w:tr w:rsidR="004F73A2" w:rsidRPr="00C5469A" w:rsidTr="00C5469A">
        <w:trPr>
          <w:gridBefore w:val="1"/>
          <w:wBefore w:w="6" w:type="dxa"/>
          <w:trHeight w:val="1163"/>
        </w:trPr>
        <w:tc>
          <w:tcPr>
            <w:tcW w:w="3221" w:type="dxa"/>
          </w:tcPr>
          <w:p w:rsidR="004F73A2" w:rsidRPr="00DB4A22" w:rsidRDefault="004F73A2" w:rsidP="004F73A2">
            <w:r w:rsidRPr="00DB4A22">
              <w:t>DSHA Эвакуация, люди в море</w:t>
            </w:r>
          </w:p>
        </w:tc>
        <w:tc>
          <w:tcPr>
            <w:tcW w:w="3105" w:type="dxa"/>
          </w:tcPr>
          <w:p w:rsidR="004F73A2" w:rsidRPr="00DB4A22" w:rsidRDefault="004F73A2" w:rsidP="004F73A2">
            <w:r w:rsidRPr="00DB4A22">
              <w:t>• Спасение людей из моря/людей, эвакуированных в море</w:t>
            </w:r>
          </w:p>
        </w:tc>
        <w:tc>
          <w:tcPr>
            <w:tcW w:w="3415" w:type="dxa"/>
          </w:tcPr>
          <w:p w:rsidR="004F73A2" w:rsidRPr="00DB4A22" w:rsidRDefault="004F73A2" w:rsidP="004F73A2">
            <w:r w:rsidRPr="00DB4A22">
              <w:t>Ref. NOG 064: время реагирования — 120 минут. Спасение 5% людей на борту (POB).</w:t>
            </w:r>
          </w:p>
        </w:tc>
      </w:tr>
      <w:tr w:rsidR="004F73A2" w:rsidRPr="00C5469A" w:rsidTr="00C5469A">
        <w:trPr>
          <w:gridBefore w:val="1"/>
          <w:wBefore w:w="6" w:type="dxa"/>
          <w:trHeight w:val="1891"/>
        </w:trPr>
        <w:tc>
          <w:tcPr>
            <w:tcW w:w="3221" w:type="dxa"/>
          </w:tcPr>
          <w:p w:rsidR="004F73A2" w:rsidRPr="00DB4A22" w:rsidRDefault="004F73A2" w:rsidP="004F73A2">
            <w:r w:rsidRPr="00DB4A22">
              <w:lastRenderedPageBreak/>
              <w:t>DSHA Пожар и взрыв</w:t>
            </w:r>
          </w:p>
        </w:tc>
        <w:tc>
          <w:tcPr>
            <w:tcW w:w="3105" w:type="dxa"/>
          </w:tcPr>
          <w:p w:rsidR="004F73A2" w:rsidRPr="00DB4A22" w:rsidRDefault="004F73A2" w:rsidP="004F73A2">
            <w:r w:rsidRPr="00DB4A22">
              <w:t>• Помощь с противопожарным оборудованием и охлаждение повреждённых конструкций</w:t>
            </w:r>
          </w:p>
        </w:tc>
        <w:tc>
          <w:tcPr>
            <w:tcW w:w="3415" w:type="dxa"/>
          </w:tcPr>
          <w:p w:rsidR="004F73A2" w:rsidRPr="00DB4A22" w:rsidRDefault="004F73A2" w:rsidP="004F73A2">
            <w:r w:rsidRPr="00DB4A22">
              <w:t>Нет требований. Системы противопожарной защиты на платформе достаточны. Критические системы защищены пассивной противопожарной защитой.</w:t>
            </w:r>
          </w:p>
        </w:tc>
        <w:bookmarkStart w:id="0" w:name="_GoBack"/>
        <w:bookmarkEnd w:id="0"/>
      </w:tr>
      <w:tr w:rsidR="004F73A2" w:rsidRPr="00C5469A" w:rsidTr="00C5469A">
        <w:tc>
          <w:tcPr>
            <w:tcW w:w="3227" w:type="dxa"/>
            <w:gridSpan w:val="2"/>
          </w:tcPr>
          <w:p w:rsidR="004F73A2" w:rsidRPr="00DB4A22" w:rsidRDefault="004F73A2" w:rsidP="004F73A2">
            <w:r w:rsidRPr="00DB4A22">
              <w:t>DSHA Разлив нефти</w:t>
            </w:r>
          </w:p>
        </w:tc>
        <w:tc>
          <w:tcPr>
            <w:tcW w:w="3105" w:type="dxa"/>
          </w:tcPr>
          <w:p w:rsidR="004F73A2" w:rsidRPr="00DB4A22" w:rsidRDefault="004F73A2" w:rsidP="004F73A2">
            <w:r w:rsidRPr="00DB4A22">
              <w:t>• Управление разливом нефти, мониторинг, проверка и реагирование.</w:t>
            </w:r>
          </w:p>
        </w:tc>
        <w:tc>
          <w:tcPr>
            <w:tcW w:w="3415" w:type="dxa"/>
          </w:tcPr>
          <w:p w:rsidR="004F73A2" w:rsidRPr="00DB4A22" w:rsidRDefault="004F73A2" w:rsidP="004F73A2"/>
        </w:tc>
      </w:tr>
    </w:tbl>
    <w:p w:rsidR="00C5469A" w:rsidRPr="004F73A2" w:rsidRDefault="00C5469A" w:rsidP="00C5469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5469A" w:rsidRPr="004F7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A56A0"/>
    <w:multiLevelType w:val="hybridMultilevel"/>
    <w:tmpl w:val="233C2EEA"/>
    <w:lvl w:ilvl="0" w:tplc="57109C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AFCAD1A">
      <w:numFmt w:val="bullet"/>
      <w:lvlText w:val="•"/>
      <w:lvlJc w:val="left"/>
      <w:pPr>
        <w:ind w:left="749" w:hanging="360"/>
      </w:pPr>
      <w:rPr>
        <w:rFonts w:hint="default"/>
        <w:lang w:val="en-US" w:eastAsia="en-US" w:bidi="ar-SA"/>
      </w:rPr>
    </w:lvl>
    <w:lvl w:ilvl="2" w:tplc="2E10927E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3" w:tplc="5BFE8D3C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4" w:tplc="AA6CA304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5" w:tplc="790C354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2C006F64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7" w:tplc="A87ACAC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8" w:tplc="FB02FF96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B05034"/>
    <w:multiLevelType w:val="hybridMultilevel"/>
    <w:tmpl w:val="E04ED378"/>
    <w:lvl w:ilvl="0" w:tplc="041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  <w:w w:val="99"/>
        <w:lang w:val="en-US" w:eastAsia="en-US" w:bidi="ar-SA"/>
      </w:rPr>
    </w:lvl>
    <w:lvl w:ilvl="1" w:tplc="70CA711E">
      <w:numFmt w:val="bullet"/>
      <w:lvlText w:val="•"/>
      <w:lvlJc w:val="left"/>
      <w:pPr>
        <w:ind w:left="749" w:hanging="360"/>
      </w:pPr>
      <w:rPr>
        <w:rFonts w:hint="default"/>
        <w:lang w:val="en-US" w:eastAsia="en-US" w:bidi="ar-SA"/>
      </w:rPr>
    </w:lvl>
    <w:lvl w:ilvl="2" w:tplc="14904E6A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3" w:tplc="B02ADD7C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4" w:tplc="68D2DAB8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5" w:tplc="6F78BEF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E92CBD4C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7" w:tplc="7CC653DE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8" w:tplc="C62CFAF4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EA622C"/>
    <w:multiLevelType w:val="hybridMultilevel"/>
    <w:tmpl w:val="D6DE8E08"/>
    <w:lvl w:ilvl="0" w:tplc="2EDE496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5AC68A">
      <w:numFmt w:val="bullet"/>
      <w:lvlText w:val="•"/>
      <w:lvlJc w:val="left"/>
      <w:pPr>
        <w:ind w:left="749" w:hanging="360"/>
      </w:pPr>
      <w:rPr>
        <w:rFonts w:hint="default"/>
        <w:lang w:val="en-US" w:eastAsia="en-US" w:bidi="ar-SA"/>
      </w:rPr>
    </w:lvl>
    <w:lvl w:ilvl="2" w:tplc="3F0ABE5A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3" w:tplc="31FE40F2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4" w:tplc="F16C7968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5" w:tplc="12A0007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603A1488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7" w:tplc="E9501F5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8" w:tplc="DD12804C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6E219ED"/>
    <w:multiLevelType w:val="hybridMultilevel"/>
    <w:tmpl w:val="A9A6B354"/>
    <w:lvl w:ilvl="0" w:tplc="5280782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00904C">
      <w:numFmt w:val="bullet"/>
      <w:lvlText w:val="•"/>
      <w:lvlJc w:val="left"/>
      <w:pPr>
        <w:ind w:left="749" w:hanging="360"/>
      </w:pPr>
      <w:rPr>
        <w:rFonts w:hint="default"/>
        <w:lang w:val="en-US" w:eastAsia="en-US" w:bidi="ar-SA"/>
      </w:rPr>
    </w:lvl>
    <w:lvl w:ilvl="2" w:tplc="530C6EFC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3" w:tplc="38D6C310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4" w:tplc="BB843EF6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5" w:tplc="ED88FE2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DA08E296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7" w:tplc="53CE8562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8" w:tplc="7478AD40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818"/>
    <w:rsid w:val="00105818"/>
    <w:rsid w:val="00173E88"/>
    <w:rsid w:val="00254A87"/>
    <w:rsid w:val="002B4A5B"/>
    <w:rsid w:val="004F73A2"/>
    <w:rsid w:val="00C5469A"/>
    <w:rsid w:val="00D3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55033"/>
  <w15:docId w15:val="{58BED77B-54D0-4CDD-B37C-784EC45D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54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4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3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9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Ермек</dc:creator>
  <cp:keywords/>
  <dc:description/>
  <cp:lastModifiedBy>Никита Романов</cp:lastModifiedBy>
  <cp:revision>2</cp:revision>
  <dcterms:created xsi:type="dcterms:W3CDTF">2024-09-23T18:42:00Z</dcterms:created>
  <dcterms:modified xsi:type="dcterms:W3CDTF">2024-09-23T18:42:00Z</dcterms:modified>
</cp:coreProperties>
</file>