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9F3E" w14:textId="77777777" w:rsidR="00283E8E" w:rsidRDefault="00283E8E" w:rsidP="00283E8E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46A8DB13" w14:textId="77777777" w:rsidR="00283E8E" w:rsidRDefault="00283E8E" w:rsidP="00283E8E">
      <w:pPr>
        <w:jc w:val="center"/>
      </w:pPr>
      <w:r>
        <w:t>Факультет Прикладной Математики – Процессов Управления</w:t>
      </w:r>
    </w:p>
    <w:p w14:paraId="56E941AA" w14:textId="77777777" w:rsidR="00283E8E" w:rsidRDefault="00283E8E" w:rsidP="00283E8E">
      <w:pPr>
        <w:rPr>
          <w:b/>
          <w:sz w:val="28"/>
          <w:szCs w:val="28"/>
        </w:rPr>
      </w:pPr>
    </w:p>
    <w:p w14:paraId="4D8907D3" w14:textId="77777777" w:rsidR="00283E8E" w:rsidRDefault="00283E8E" w:rsidP="00283E8E">
      <w:pPr>
        <w:rPr>
          <w:b/>
          <w:sz w:val="28"/>
          <w:szCs w:val="28"/>
        </w:rPr>
      </w:pPr>
    </w:p>
    <w:p w14:paraId="1CFE072A" w14:textId="77777777" w:rsidR="00283E8E" w:rsidRDefault="00283E8E" w:rsidP="00283E8E">
      <w:pPr>
        <w:rPr>
          <w:b/>
          <w:sz w:val="28"/>
          <w:szCs w:val="28"/>
        </w:rPr>
      </w:pPr>
    </w:p>
    <w:p w14:paraId="5865A41B" w14:textId="77777777" w:rsidR="00283E8E" w:rsidRDefault="00283E8E" w:rsidP="00283E8E">
      <w:pPr>
        <w:spacing w:after="120"/>
        <w:rPr>
          <w:b/>
        </w:rPr>
      </w:pPr>
    </w:p>
    <w:p w14:paraId="4E559572" w14:textId="77777777" w:rsidR="00283E8E" w:rsidRDefault="00283E8E" w:rsidP="00283E8E">
      <w:pPr>
        <w:spacing w:after="120"/>
        <w:rPr>
          <w:b/>
        </w:rPr>
      </w:pPr>
    </w:p>
    <w:p w14:paraId="445316FF" w14:textId="77777777" w:rsidR="00283E8E" w:rsidRDefault="00283E8E" w:rsidP="00283E8E">
      <w:pPr>
        <w:spacing w:after="120"/>
        <w:rPr>
          <w:b/>
        </w:rPr>
      </w:pPr>
    </w:p>
    <w:p w14:paraId="29F55643" w14:textId="77777777" w:rsidR="00283E8E" w:rsidRDefault="00283E8E" w:rsidP="00283E8E">
      <w:pPr>
        <w:rPr>
          <w:lang w:val="en-US"/>
        </w:rPr>
      </w:pPr>
    </w:p>
    <w:p w14:paraId="43FB1F55" w14:textId="77777777" w:rsidR="00283E8E" w:rsidRPr="009315CD" w:rsidRDefault="00283E8E" w:rsidP="00283E8E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8_1</w:t>
      </w:r>
    </w:p>
    <w:p w14:paraId="13EDD54D" w14:textId="77777777" w:rsidR="00283E8E" w:rsidRDefault="00283E8E" w:rsidP="00283E8E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>Однофакторный дисперсионный анализ.</w:t>
      </w:r>
    </w:p>
    <w:p w14:paraId="2AE6871F" w14:textId="77777777" w:rsidR="00283E8E" w:rsidRDefault="00283E8E" w:rsidP="00283E8E">
      <w:pPr>
        <w:spacing w:after="120"/>
        <w:rPr>
          <w:b/>
        </w:rPr>
      </w:pPr>
    </w:p>
    <w:p w14:paraId="68DA721F" w14:textId="77777777" w:rsidR="00283E8E" w:rsidRDefault="00283E8E" w:rsidP="00283E8E">
      <w:pPr>
        <w:spacing w:after="120"/>
        <w:rPr>
          <w:b/>
        </w:rPr>
      </w:pPr>
    </w:p>
    <w:p w14:paraId="1F590281" w14:textId="77777777" w:rsidR="00283E8E" w:rsidRDefault="00283E8E" w:rsidP="00283E8E">
      <w:pPr>
        <w:spacing w:after="120"/>
        <w:rPr>
          <w:b/>
        </w:rPr>
      </w:pPr>
    </w:p>
    <w:p w14:paraId="34C1D047" w14:textId="77777777" w:rsidR="00283E8E" w:rsidRDefault="00283E8E" w:rsidP="00283E8E">
      <w:pPr>
        <w:spacing w:after="120"/>
        <w:jc w:val="right"/>
        <w:rPr>
          <w:b/>
        </w:rPr>
      </w:pPr>
    </w:p>
    <w:p w14:paraId="0A5FFD3A" w14:textId="77777777" w:rsidR="00283E8E" w:rsidRPr="007275DC" w:rsidRDefault="00283E8E" w:rsidP="00283E8E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1F824DD9" w14:textId="77777777" w:rsidR="00283E8E" w:rsidRPr="007275DC" w:rsidRDefault="00283E8E" w:rsidP="00283E8E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64F14503" w14:textId="77777777" w:rsidR="00283E8E" w:rsidRPr="007275DC" w:rsidRDefault="00283E8E" w:rsidP="00283E8E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16F1735C" w14:textId="77777777" w:rsidR="00283E8E" w:rsidRPr="007275DC" w:rsidRDefault="00283E8E" w:rsidP="00283E8E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47E36025" w14:textId="77777777" w:rsidR="00283E8E" w:rsidRPr="007275DC" w:rsidRDefault="00283E8E" w:rsidP="00283E8E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78EC4F78" w14:textId="77777777" w:rsidR="00283E8E" w:rsidRDefault="00283E8E" w:rsidP="00283E8E">
      <w:pPr>
        <w:spacing w:after="120"/>
        <w:rPr>
          <w:b/>
        </w:rPr>
      </w:pPr>
    </w:p>
    <w:p w14:paraId="1CB19B3E" w14:textId="77777777" w:rsidR="00283E8E" w:rsidRDefault="00283E8E" w:rsidP="00283E8E">
      <w:pPr>
        <w:spacing w:after="120"/>
        <w:rPr>
          <w:b/>
        </w:rPr>
      </w:pPr>
    </w:p>
    <w:p w14:paraId="649D5BAF" w14:textId="77777777" w:rsidR="00283E8E" w:rsidRDefault="00283E8E" w:rsidP="00283E8E">
      <w:pPr>
        <w:spacing w:after="120"/>
        <w:rPr>
          <w:b/>
        </w:rPr>
      </w:pPr>
    </w:p>
    <w:p w14:paraId="03D33154" w14:textId="77777777" w:rsidR="00283E8E" w:rsidRDefault="00283E8E" w:rsidP="00283E8E">
      <w:pPr>
        <w:spacing w:after="120"/>
        <w:rPr>
          <w:b/>
        </w:rPr>
      </w:pPr>
    </w:p>
    <w:p w14:paraId="58181471" w14:textId="77777777" w:rsidR="00283E8E" w:rsidRDefault="00283E8E" w:rsidP="00283E8E">
      <w:pPr>
        <w:spacing w:after="120"/>
        <w:rPr>
          <w:b/>
        </w:rPr>
      </w:pPr>
    </w:p>
    <w:p w14:paraId="2ED52458" w14:textId="77777777" w:rsidR="00283E8E" w:rsidRPr="00ED4D88" w:rsidRDefault="00283E8E" w:rsidP="00283E8E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4E81133B" w14:textId="77777777" w:rsidR="00283E8E" w:rsidRDefault="00283E8E" w:rsidP="00283E8E"/>
    <w:p w14:paraId="554BC281" w14:textId="2FC25D46" w:rsidR="00352E5F" w:rsidRDefault="00BA0159" w:rsidP="002D7094">
      <w:pPr>
        <w:ind w:firstLine="708"/>
      </w:pPr>
      <w:r>
        <w:t xml:space="preserve">Задача: </w:t>
      </w:r>
      <w:r w:rsidR="00F561D6">
        <w:t>н</w:t>
      </w:r>
      <w:r w:rsidR="00F561D6" w:rsidRPr="00717876">
        <w:t xml:space="preserve">а уровне </w:t>
      </w:r>
      <w:r w:rsidR="00F561D6">
        <w:t xml:space="preserve">значимости </w:t>
      </w:r>
      <m:oMath>
        <m:r>
          <w:rPr>
            <w:rFonts w:ascii="Cambria Math"/>
          </w:rPr>
          <m:t>α=0,05</m:t>
        </m:r>
      </m:oMath>
      <w:r w:rsidR="00F561D6">
        <w:t xml:space="preserve"> проверить гипотезу о том, что условия хранения продукта не оказывают влияния на содержание влаги. Если влияние отсутствует, уровень мат. ожидания у выборок должен совпадать. Таким образом, задача сводится к проверке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F561D6" w:rsidRPr="00F561D6">
        <w:t xml:space="preserve"> </w:t>
      </w:r>
      <w:r w:rsidR="00F561D6">
        <w:t xml:space="preserve">при альтернативной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F561D6" w:rsidRPr="00F561D6">
        <w:t xml:space="preserve"> </w:t>
      </w:r>
      <w:r w:rsidR="00F561D6">
        <w:t>отрицание нулевой гипотезы.</w:t>
      </w:r>
    </w:p>
    <w:p w14:paraId="10EBD9E6" w14:textId="42BD666F" w:rsidR="00BD73B4" w:rsidRPr="00F561D6" w:rsidRDefault="00F42D95" w:rsidP="00F42D95">
      <w:pPr>
        <w:ind w:firstLine="708"/>
        <w:jc w:val="center"/>
      </w:pPr>
      <w:r w:rsidRPr="00F42D95">
        <w:rPr>
          <w:noProof/>
        </w:rPr>
        <w:drawing>
          <wp:inline distT="0" distB="0" distL="0" distR="0" wp14:anchorId="5A111B68" wp14:editId="6ED6D52F">
            <wp:extent cx="1835785" cy="2632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60C2" w14:textId="048D8548" w:rsidR="00F561D6" w:rsidRPr="00F561D6" w:rsidRDefault="00F561D6" w:rsidP="00152AE1">
      <w:pPr>
        <w:pStyle w:val="a3"/>
        <w:numPr>
          <w:ilvl w:val="0"/>
          <w:numId w:val="1"/>
        </w:numPr>
        <w:jc w:val="left"/>
      </w:pPr>
      <w:r w:rsidRPr="00F561D6">
        <w:t xml:space="preserve">Введем выборочные средние:  </w:t>
      </w:r>
      <w:r w:rsidR="00152AE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den>
          </m:f>
          <m:r>
            <w:rPr>
              <w:rFonts w:asci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ir</m:t>
                  </m:r>
                </m:sub>
              </m:sSub>
            </m:e>
          </m:nary>
          <m:r>
            <w:rPr>
              <w:rFonts w:ascii="Cambria Math"/>
            </w:rPr>
            <m:t xml:space="preserve">,  </m:t>
          </m:r>
          <m:r>
            <w:rPr>
              <w:rFonts w:ascii="Cambria Math"/>
              <w:lang w:val="en-US"/>
            </w:rPr>
            <m:t>r</m:t>
          </m:r>
          <m:r>
            <w:rPr>
              <w:rFonts w:ascii="Cambria Math"/>
            </w:rPr>
            <m:t>=1,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,k</m:t>
          </m:r>
        </m:oMath>
      </m:oMathPara>
    </w:p>
    <w:p w14:paraId="3B8F2657" w14:textId="5375F044" w:rsidR="00F561D6" w:rsidRDefault="00F561D6" w:rsidP="00152AE1">
      <w:pPr>
        <w:pStyle w:val="a3"/>
        <w:numPr>
          <w:ilvl w:val="0"/>
          <w:numId w:val="1"/>
        </w:numPr>
        <w:jc w:val="left"/>
      </w:pPr>
      <w:r>
        <w:t xml:space="preserve">Найдем общее выборочное среднее: </w:t>
      </w:r>
      <w:r w:rsidR="00152AE1">
        <w:br/>
      </w:r>
      <m:oMathPara>
        <m:oMath>
          <m:acc>
            <m:accPr>
              <m:chr m:val="̄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X</m:t>
              </m:r>
            </m:e>
          </m:ac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n=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e>
          </m:nary>
        </m:oMath>
      </m:oMathPara>
    </w:p>
    <w:p w14:paraId="2EDBE60C" w14:textId="5B25F60D" w:rsidR="00BA0159" w:rsidRPr="00152AE1" w:rsidRDefault="006B39FC" w:rsidP="006B39FC">
      <w:pPr>
        <w:pStyle w:val="a3"/>
        <w:numPr>
          <w:ilvl w:val="0"/>
          <w:numId w:val="1"/>
        </w:numPr>
        <w:jc w:val="left"/>
      </w:pPr>
      <w:r>
        <w:t xml:space="preserve">Вычислим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B39FC">
        <w:t xml:space="preserve"> </w:t>
      </w:r>
      <w:r>
        <w:t xml:space="preserve">по формуле </w:t>
      </w:r>
      <w: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ir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/>
            </w:rPr>
            <m:t> 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 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ir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Х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=Q</m:t>
          </m:r>
        </m:oMath>
      </m:oMathPara>
    </w:p>
    <w:p w14:paraId="30C01C37" w14:textId="480E3888" w:rsidR="00152AE1" w:rsidRPr="00152AE1" w:rsidRDefault="00152AE1" w:rsidP="00152AE1">
      <w:pPr>
        <w:pStyle w:val="a3"/>
        <w:numPr>
          <w:ilvl w:val="0"/>
          <w:numId w:val="1"/>
        </w:numPr>
        <w:jc w:val="left"/>
      </w:pPr>
      <w:r>
        <w:t>Вычислим значение статистики: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/(k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/(n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k)</m:t>
              </m:r>
            </m:den>
          </m:f>
        </m:oMath>
      </m:oMathPara>
    </w:p>
    <w:p w14:paraId="649B9D35" w14:textId="36ABD9BE" w:rsidR="00152AE1" w:rsidRDefault="00152AE1" w:rsidP="00152AE1">
      <w:pPr>
        <w:pStyle w:val="a3"/>
        <w:numPr>
          <w:ilvl w:val="0"/>
          <w:numId w:val="1"/>
        </w:numPr>
        <w:jc w:val="left"/>
      </w:pPr>
      <w:r>
        <w:t>Найде</w:t>
      </w:r>
      <w:r w:rsidR="00F51CD7">
        <w:t>м</w:t>
      </w:r>
      <w:r>
        <w:t xml:space="preserve"> критическое значение – квантиль распределения Фишера </w:t>
      </w:r>
      <w:r w:rsidRPr="00152AE1">
        <w:t xml:space="preserve">с </w:t>
      </w:r>
      <w:r>
        <w:br/>
      </w:r>
      <m:oMath>
        <m:r>
          <w:rPr>
            <w:rFonts w:ascii="Cambria Math"/>
          </w:rPr>
          <m:t>k</m:t>
        </m:r>
        <m:r>
          <w:rPr>
            <w:rFonts w:ascii="Cambria Math"/>
          </w:rPr>
          <m:t>-</m:t>
        </m:r>
        <m:r>
          <w:rPr>
            <w:rFonts w:ascii="Cambria Math"/>
          </w:rPr>
          <m:t>1,n</m:t>
        </m:r>
        <m:r>
          <w:rPr>
            <w:rFonts w:ascii="Cambria Math"/>
          </w:rPr>
          <m:t>-</m:t>
        </m:r>
        <m:r>
          <w:rPr>
            <w:rFonts w:ascii="Cambria Math"/>
          </w:rPr>
          <m:t>k</m:t>
        </m:r>
      </m:oMath>
      <w:r w:rsidRPr="00152AE1">
        <w:t xml:space="preserve">  степенями свободы</w:t>
      </w:r>
      <w:r w:rsidR="004113E4">
        <w:t>.</w:t>
      </w:r>
    </w:p>
    <w:p w14:paraId="5F9D2E64" w14:textId="27ABCA80" w:rsidR="004113E4" w:rsidRDefault="004113E4" w:rsidP="00152AE1">
      <w:pPr>
        <w:pStyle w:val="a3"/>
        <w:numPr>
          <w:ilvl w:val="0"/>
          <w:numId w:val="1"/>
        </w:numPr>
        <w:jc w:val="left"/>
      </w:pPr>
      <w:r>
        <w:lastRenderedPageBreak/>
        <w:t xml:space="preserve">Результаты вычислений приведены в табл. </w:t>
      </w:r>
      <w:r w:rsidR="00EC0908">
        <w:t>2</w:t>
      </w:r>
      <w:r>
        <w:t>. Поскольку значение статистики превышает критическое значение, принимается гипотеза Н1 – мат. ожидания выборок не равны.</w:t>
      </w:r>
      <w:r w:rsidRPr="004113E4">
        <w:rPr>
          <w:noProof/>
        </w:rPr>
        <w:t xml:space="preserve"> </w:t>
      </w:r>
    </w:p>
    <w:tbl>
      <w:tblPr>
        <w:tblW w:w="2100" w:type="dxa"/>
        <w:jc w:val="center"/>
        <w:tblLook w:val="04A0" w:firstRow="1" w:lastRow="0" w:firstColumn="1" w:lastColumn="0" w:noHBand="0" w:noVBand="1"/>
      </w:tblPr>
      <w:tblGrid>
        <w:gridCol w:w="1052"/>
        <w:gridCol w:w="1163"/>
      </w:tblGrid>
      <w:tr w:rsidR="00E47E77" w:rsidRPr="00E47E77" w14:paraId="19B21D23" w14:textId="77777777" w:rsidTr="00E47E77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3E0B" w14:textId="77777777" w:rsidR="00E47E77" w:rsidRPr="00E47E77" w:rsidRDefault="00E47E77" w:rsidP="00E47E7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01353" w14:textId="77777777" w:rsidR="00E47E77" w:rsidRPr="00E47E77" w:rsidRDefault="00E47E77" w:rsidP="00E47E7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</w:tr>
      <w:tr w:rsidR="00E47E77" w:rsidRPr="00E47E77" w14:paraId="6C499AD3" w14:textId="77777777" w:rsidTr="00E47E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9437" w14:textId="77777777" w:rsidR="00E47E77" w:rsidRPr="00E47E77" w:rsidRDefault="00E47E77" w:rsidP="00E47E7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65,87129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6ED46" w14:textId="77777777" w:rsidR="00E47E77" w:rsidRPr="00E47E77" w:rsidRDefault="00E47E77" w:rsidP="00E47E7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60,442374</w:t>
            </w:r>
          </w:p>
        </w:tc>
      </w:tr>
    </w:tbl>
    <w:p w14:paraId="37B151ED" w14:textId="77777777" w:rsidR="00E47E77" w:rsidRDefault="00E47E77" w:rsidP="00E47E77">
      <w:pPr>
        <w:pStyle w:val="a3"/>
        <w:ind w:left="0"/>
      </w:pPr>
    </w:p>
    <w:tbl>
      <w:tblPr>
        <w:tblW w:w="2163" w:type="dxa"/>
        <w:jc w:val="center"/>
        <w:tblLook w:val="04A0" w:firstRow="1" w:lastRow="0" w:firstColumn="1" w:lastColumn="0" w:noHBand="0" w:noVBand="1"/>
      </w:tblPr>
      <w:tblGrid>
        <w:gridCol w:w="1209"/>
        <w:gridCol w:w="1163"/>
      </w:tblGrid>
      <w:tr w:rsidR="00E47E77" w:rsidRPr="00E47E77" w14:paraId="30D1DDEE" w14:textId="77777777" w:rsidTr="00E47E77">
        <w:trPr>
          <w:trHeight w:val="288"/>
          <w:jc w:val="center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3818" w14:textId="77777777" w:rsidR="00E47E77" w:rsidRPr="00E47E77" w:rsidRDefault="00E47E77" w:rsidP="00E47E7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8F1D3" w14:textId="77777777" w:rsidR="00E47E77" w:rsidRPr="00E47E77" w:rsidRDefault="00E47E77" w:rsidP="00E47E7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14,712567</w:t>
            </w:r>
          </w:p>
        </w:tc>
      </w:tr>
      <w:tr w:rsidR="00E47E77" w:rsidRPr="00E47E77" w14:paraId="00065C14" w14:textId="77777777" w:rsidTr="00E47E77">
        <w:trPr>
          <w:trHeight w:val="300"/>
          <w:jc w:val="center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C8BA" w14:textId="77777777" w:rsidR="00E47E77" w:rsidRPr="00E47E77" w:rsidRDefault="00E47E77" w:rsidP="00E47E7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квантиль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07C88" w14:textId="77777777" w:rsidR="00E47E77" w:rsidRPr="00E47E77" w:rsidRDefault="00E47E77" w:rsidP="00E47E7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7E77">
              <w:rPr>
                <w:rFonts w:ascii="Calibri" w:hAnsi="Calibri" w:cs="Calibri"/>
                <w:color w:val="000000"/>
                <w:sz w:val="22"/>
                <w:szCs w:val="22"/>
              </w:rPr>
              <w:t>3,3541308</w:t>
            </w:r>
          </w:p>
        </w:tc>
      </w:tr>
    </w:tbl>
    <w:p w14:paraId="17D720CC" w14:textId="77777777" w:rsidR="00E47E77" w:rsidRDefault="00E47E77" w:rsidP="00E47E77"/>
    <w:p w14:paraId="650A7D5B" w14:textId="2E7203E7" w:rsidR="005D7565" w:rsidRDefault="005D7565" w:rsidP="00E47E77">
      <w:pPr>
        <w:pStyle w:val="a3"/>
        <w:numPr>
          <w:ilvl w:val="0"/>
          <w:numId w:val="1"/>
        </w:numPr>
        <w:jc w:val="left"/>
      </w:pPr>
      <w:r>
        <w:t xml:space="preserve">Так как нулевая гипотеза отклонена, то необходимо при двусторонних альтернативах проверить следующие гипотезы: </w:t>
      </w:r>
    </w:p>
    <w:p w14:paraId="64C21ACB" w14:textId="26F0AA83" w:rsidR="005D7565" w:rsidRPr="005D7565" w:rsidRDefault="00283E8E" w:rsidP="005D75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(1)</m:t>
              </m:r>
            </m:sup>
          </m:sSubSup>
          <m:r>
            <w:rPr>
              <w:rFonts w:ascii="Cambria Math"/>
            </w:rPr>
            <m:t>:</m:t>
          </m:r>
          <m:r>
            <w:rPr>
              <w:rFonts w:ascii="Cambria Math"/>
            </w:rPr>
            <m:t>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  <w:i/>
            </w:rPr>
            <m:t>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(2)</m:t>
              </m:r>
            </m:sup>
          </m:sSubSup>
          <m:r>
            <w:rPr>
              <w:rFonts w:asci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</w:rPr>
            <m:t>  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(3)</m:t>
              </m:r>
            </m:sup>
          </m:sSubSup>
          <m:r>
            <w:rPr>
              <w:rFonts w:asci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</w:rPr>
            <m:t>  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(4)</m:t>
              </m:r>
            </m:sup>
          </m:sSubSup>
          <m:r>
            <w:rPr>
              <w:rFonts w:asci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178A1E1F" w14:textId="36B448B7" w:rsidR="005D7565" w:rsidRPr="00F51CD7" w:rsidRDefault="00200178" w:rsidP="00200178">
      <w:pPr>
        <w:ind w:firstLine="708"/>
        <w:jc w:val="left"/>
      </w:pPr>
      <w:r>
        <w:t>Для этого п</w:t>
      </w:r>
      <w:r w:rsidR="005D7565">
        <w:t xml:space="preserve">рименим </w:t>
      </w:r>
      <w:r>
        <w:t xml:space="preserve">следующие </w:t>
      </w:r>
      <w:r w:rsidR="005D7565">
        <w:t>линейные контрасты</w:t>
      </w:r>
      <w:r>
        <w:t>:</w:t>
      </w:r>
      <w:r w:rsidR="00CA567E">
        <w:br/>
      </w:r>
      <m:oMathPara>
        <m:oMathParaPr>
          <m:jc m:val="center"/>
        </m:oMathParaPr>
        <m:oMath>
          <m:r>
            <w:rPr>
              <w:rFonts w:asci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 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, 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 </m:t>
          </m:r>
          <m:r>
            <w:rPr>
              <w:rFonts w:asci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m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413063B5" w14:textId="77777777" w:rsidR="00EC0908" w:rsidRDefault="00200178" w:rsidP="00EC0908">
      <w:pPr>
        <w:pStyle w:val="a3"/>
        <w:numPr>
          <w:ilvl w:val="0"/>
          <w:numId w:val="2"/>
        </w:numPr>
        <w:jc w:val="left"/>
      </w:pPr>
      <w:r>
        <w:t xml:space="preserve">Для каждого из них найдем </w:t>
      </w:r>
    </w:p>
    <w:p w14:paraId="2444828C" w14:textId="7350F658" w:rsidR="00EC0908" w:rsidRDefault="00EC0908" w:rsidP="00EC0908">
      <w:pPr>
        <w:pStyle w:val="a3"/>
        <w:jc w:val="left"/>
      </w:pPr>
      <m:oMathPara>
        <m:oMath>
          <m:r>
            <w:rPr>
              <w:rFonts w:ascii="Cambria Math"/>
            </w:rPr>
            <m:t>L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k</m:t>
              </m:r>
            </m:e>
          </m:acc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e>
          </m:nary>
        </m:oMath>
      </m:oMathPara>
    </w:p>
    <w:p w14:paraId="488A5F54" w14:textId="040784BC" w:rsidR="00200178" w:rsidRDefault="00283E8E" w:rsidP="00EC0908">
      <w:pPr>
        <w:pStyle w:val="a3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Lk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den>
              </m:f>
            </m:e>
          </m:nary>
          <m:r>
            <w:rPr>
              <w:rFonts w:asci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k</m:t>
              </m:r>
            </m:den>
          </m:f>
          <m:r>
            <w:rPr>
              <w:rFonts w:asci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r=1</m:t>
              </m:r>
            </m:sub>
            <m:sup>
              <m:r>
                <w:rPr>
                  <w:rFonts w:asci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den>
              </m:f>
            </m:e>
          </m:nary>
        </m:oMath>
      </m:oMathPara>
    </w:p>
    <w:p w14:paraId="3BE86B12" w14:textId="77777777" w:rsidR="00EC0908" w:rsidRPr="00EC0908" w:rsidRDefault="00200178" w:rsidP="00EC0908">
      <w:pPr>
        <w:pStyle w:val="a3"/>
        <w:numPr>
          <w:ilvl w:val="0"/>
          <w:numId w:val="2"/>
        </w:numPr>
        <w:jc w:val="left"/>
      </w:pPr>
      <w:r>
        <w:t xml:space="preserve">И вычислим границы доверительного интервала </w:t>
      </w:r>
    </w:p>
    <w:p w14:paraId="467E45C2" w14:textId="5E6052CD" w:rsidR="00200178" w:rsidRDefault="00EC0908" w:rsidP="00EC0908">
      <w:pPr>
        <w:pStyle w:val="a3"/>
        <w:jc w:val="left"/>
      </w:pPr>
      <m:oMathPara>
        <m:oMath>
          <m:r>
            <w:rPr>
              <w:rFonts w:ascii="Cambria Math"/>
            </w:rPr>
            <m:t>L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k</m:t>
              </m:r>
            </m:e>
          </m:acc>
          <m:r>
            <w:rPr>
              <w:rFonts w:ascii="Cambria Math"/>
            </w:rPr>
            <m:t>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Lk</m:t>
              </m:r>
            </m:sub>
          </m:sSub>
          <m:r>
            <w:rPr>
              <w:rFonts w:asci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(k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1)</m:t>
              </m:r>
              <m:r>
                <w:rPr>
                  <w:rFonts w:asci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α)</m:t>
                  </m:r>
                </m:sub>
              </m:sSub>
              <m:r>
                <w:rPr>
                  <w:rFonts w:ascii="Cambria Math"/>
                </w:rPr>
                <m:t>(k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1,n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k)</m:t>
              </m:r>
            </m:e>
          </m:rad>
        </m:oMath>
      </m:oMathPara>
    </w:p>
    <w:p w14:paraId="6542CC87" w14:textId="77777777" w:rsidR="00E47E77" w:rsidRDefault="00200178" w:rsidP="00200178">
      <w:pPr>
        <w:pStyle w:val="a3"/>
        <w:numPr>
          <w:ilvl w:val="0"/>
          <w:numId w:val="2"/>
        </w:numPr>
        <w:jc w:val="left"/>
      </w:pPr>
      <w:r>
        <w:t xml:space="preserve">Если в данном интервале содержится ноль, нулевая гипотеза для данного контраста принимается. </w:t>
      </w:r>
    </w:p>
    <w:p w14:paraId="17665CAE" w14:textId="4EAD4197" w:rsidR="00200178" w:rsidRDefault="00E47E77" w:rsidP="00E47E77">
      <w:pPr>
        <w:pStyle w:val="a3"/>
        <w:jc w:val="left"/>
      </w:pPr>
      <w:r w:rsidRPr="00E47E77">
        <w:rPr>
          <w:noProof/>
        </w:rPr>
        <w:drawing>
          <wp:inline distT="0" distB="0" distL="0" distR="0" wp14:anchorId="0BEF3258" wp14:editId="726B08A5">
            <wp:extent cx="1835785" cy="1129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22EE" w14:textId="726B8EA4" w:rsidR="00E47E77" w:rsidRDefault="00E47E77" w:rsidP="00E47E77">
      <w:pPr>
        <w:pStyle w:val="a3"/>
        <w:jc w:val="left"/>
      </w:pPr>
      <w:r w:rsidRPr="00E47E77">
        <w:rPr>
          <w:noProof/>
        </w:rPr>
        <w:lastRenderedPageBreak/>
        <w:drawing>
          <wp:inline distT="0" distB="0" distL="0" distR="0" wp14:anchorId="4CE9360B" wp14:editId="1C89ED91">
            <wp:extent cx="1343660" cy="16833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7E9" w14:textId="5045C49F" w:rsidR="00E47E77" w:rsidRDefault="00194C46" w:rsidP="00E47E77">
      <w:pPr>
        <w:pStyle w:val="a3"/>
        <w:jc w:val="left"/>
      </w:pPr>
      <w:r w:rsidRPr="00194C46">
        <w:rPr>
          <w:noProof/>
        </w:rPr>
        <w:drawing>
          <wp:inline distT="0" distB="0" distL="0" distR="0" wp14:anchorId="65CC0C4B" wp14:editId="688BA4FF">
            <wp:extent cx="2445385" cy="921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AF85" w14:textId="7DE2B236" w:rsidR="004E429D" w:rsidRDefault="00793C90" w:rsidP="00E47E77">
      <w:pPr>
        <w:pStyle w:val="a3"/>
        <w:numPr>
          <w:ilvl w:val="0"/>
          <w:numId w:val="2"/>
        </w:numPr>
        <w:jc w:val="left"/>
        <w:rPr>
          <w:noProof/>
        </w:rPr>
      </w:pPr>
      <w:r>
        <w:rPr>
          <w:noProof/>
        </w:rPr>
        <w:t>Таким образом, с большой вероятностью мат. ожидания второй и третей выборок совпадают, а первой – отличается.</w:t>
      </w:r>
    </w:p>
    <w:p w14:paraId="69B17AD8" w14:textId="4E424DEC" w:rsidR="00CA0DF1" w:rsidRDefault="00CA0DF1" w:rsidP="00CA0DF1">
      <w:pPr>
        <w:pStyle w:val="1"/>
      </w:pPr>
      <w:r>
        <w:t>Вывод</w:t>
      </w:r>
    </w:p>
    <w:p w14:paraId="60B436B7" w14:textId="472C7F4C" w:rsidR="00CA0DF1" w:rsidRPr="00CA0DF1" w:rsidRDefault="00CA0DF1" w:rsidP="00CA0DF1">
      <w:r>
        <w:tab/>
        <w:t xml:space="preserve">В работе проанализированы данные об уровне содержания влаги в зависимости от условий хранения продукта. Для этого были проверены гипотезы о равенстве мат. ожиданий соответствующих выборок. Выяснилось, что мат. ожидания 2 и 3 выборок </w:t>
      </w:r>
      <w:r w:rsidR="004F28B3">
        <w:t>одинаковы, а первой отличаются.</w:t>
      </w:r>
    </w:p>
    <w:sectPr w:rsidR="00CA0DF1" w:rsidRPr="00CA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D84"/>
    <w:multiLevelType w:val="hybridMultilevel"/>
    <w:tmpl w:val="6EF4E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7A8B"/>
    <w:multiLevelType w:val="hybridMultilevel"/>
    <w:tmpl w:val="87207D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07C0D"/>
    <w:multiLevelType w:val="hybridMultilevel"/>
    <w:tmpl w:val="957E8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649C3"/>
    <w:multiLevelType w:val="hybridMultilevel"/>
    <w:tmpl w:val="0A220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24CDB"/>
    <w:multiLevelType w:val="hybridMultilevel"/>
    <w:tmpl w:val="8610B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2A9"/>
    <w:rsid w:val="00016115"/>
    <w:rsid w:val="000611A4"/>
    <w:rsid w:val="000D67FA"/>
    <w:rsid w:val="00152AE1"/>
    <w:rsid w:val="00194C46"/>
    <w:rsid w:val="00200178"/>
    <w:rsid w:val="00283E8E"/>
    <w:rsid w:val="002D7094"/>
    <w:rsid w:val="00352E5F"/>
    <w:rsid w:val="004113E4"/>
    <w:rsid w:val="004138AE"/>
    <w:rsid w:val="004E429D"/>
    <w:rsid w:val="004F28B3"/>
    <w:rsid w:val="005D7565"/>
    <w:rsid w:val="00625385"/>
    <w:rsid w:val="006B39FC"/>
    <w:rsid w:val="00793C90"/>
    <w:rsid w:val="008A0AC1"/>
    <w:rsid w:val="00972FD7"/>
    <w:rsid w:val="00A502A9"/>
    <w:rsid w:val="00B12E6A"/>
    <w:rsid w:val="00BA0159"/>
    <w:rsid w:val="00BD73B4"/>
    <w:rsid w:val="00C33055"/>
    <w:rsid w:val="00CA0DF1"/>
    <w:rsid w:val="00CA567E"/>
    <w:rsid w:val="00DE6434"/>
    <w:rsid w:val="00DF31A6"/>
    <w:rsid w:val="00E14A7C"/>
    <w:rsid w:val="00E46B95"/>
    <w:rsid w:val="00E47E77"/>
    <w:rsid w:val="00EC0908"/>
    <w:rsid w:val="00F01A67"/>
    <w:rsid w:val="00F42D95"/>
    <w:rsid w:val="00F51CD7"/>
    <w:rsid w:val="00F561D6"/>
    <w:rsid w:val="00F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E4C3"/>
  <w15:docId w15:val="{0D536209-1CDE-EE4E-9462-4E5795D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2A9"/>
    <w:pPr>
      <w:spacing w:after="0" w:line="360" w:lineRule="auto"/>
      <w:jc w:val="both"/>
    </w:pPr>
    <w:rPr>
      <w:rFonts w:ascii="PT Serif" w:eastAsia="Times New Roman" w:hAnsi="PT Serif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502A9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02A9"/>
    <w:rPr>
      <w:rFonts w:ascii="Cambria" w:eastAsia="Times New Roman" w:hAnsi="Cambria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A01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61D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11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42D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2D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Байнова</dc:creator>
  <cp:keywords/>
  <dc:description/>
  <cp:lastModifiedBy>Романычев Леонид Романович</cp:lastModifiedBy>
  <cp:revision>24</cp:revision>
  <cp:lastPrinted>2021-01-10T17:22:00Z</cp:lastPrinted>
  <dcterms:created xsi:type="dcterms:W3CDTF">2020-12-29T09:31:00Z</dcterms:created>
  <dcterms:modified xsi:type="dcterms:W3CDTF">2022-01-20T09:51:00Z</dcterms:modified>
</cp:coreProperties>
</file>