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3E76" w14:textId="77777777" w:rsidR="009518E8" w:rsidRDefault="009518E8" w:rsidP="009518E8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731F32F8" w14:textId="77777777" w:rsidR="009518E8" w:rsidRDefault="009518E8" w:rsidP="009518E8">
      <w:pPr>
        <w:jc w:val="center"/>
      </w:pPr>
      <w:r>
        <w:t>Факультет Прикладной Математики – Процессов Управления</w:t>
      </w:r>
    </w:p>
    <w:p w14:paraId="0EF348E9" w14:textId="77777777" w:rsidR="009518E8" w:rsidRDefault="009518E8" w:rsidP="009518E8">
      <w:pPr>
        <w:rPr>
          <w:b/>
          <w:sz w:val="28"/>
          <w:szCs w:val="28"/>
        </w:rPr>
      </w:pPr>
    </w:p>
    <w:p w14:paraId="2640CD04" w14:textId="77777777" w:rsidR="009518E8" w:rsidRDefault="009518E8" w:rsidP="009518E8">
      <w:pPr>
        <w:rPr>
          <w:b/>
          <w:sz w:val="28"/>
          <w:szCs w:val="28"/>
        </w:rPr>
      </w:pPr>
    </w:p>
    <w:p w14:paraId="1F05D90A" w14:textId="77777777" w:rsidR="009518E8" w:rsidRDefault="009518E8" w:rsidP="009518E8">
      <w:pPr>
        <w:rPr>
          <w:b/>
          <w:sz w:val="28"/>
          <w:szCs w:val="28"/>
        </w:rPr>
      </w:pPr>
    </w:p>
    <w:p w14:paraId="3E640C28" w14:textId="77777777" w:rsidR="009518E8" w:rsidRDefault="009518E8" w:rsidP="009518E8">
      <w:pPr>
        <w:spacing w:after="120"/>
        <w:rPr>
          <w:b/>
        </w:rPr>
      </w:pPr>
    </w:p>
    <w:p w14:paraId="1F3324DD" w14:textId="77777777" w:rsidR="009518E8" w:rsidRDefault="009518E8" w:rsidP="009518E8">
      <w:pPr>
        <w:spacing w:after="120"/>
        <w:rPr>
          <w:b/>
        </w:rPr>
      </w:pPr>
    </w:p>
    <w:p w14:paraId="0819ECF5" w14:textId="77777777" w:rsidR="009518E8" w:rsidRDefault="009518E8" w:rsidP="009518E8">
      <w:pPr>
        <w:spacing w:after="120"/>
        <w:rPr>
          <w:b/>
        </w:rPr>
      </w:pPr>
    </w:p>
    <w:p w14:paraId="65A42F18" w14:textId="77777777" w:rsidR="009518E8" w:rsidRPr="009518E8" w:rsidRDefault="009518E8" w:rsidP="009518E8"/>
    <w:p w14:paraId="629B986B" w14:textId="77777777" w:rsidR="009518E8" w:rsidRDefault="009518E8" w:rsidP="009518E8">
      <w:pPr>
        <w:rPr>
          <w:lang w:val="en-US"/>
        </w:rPr>
      </w:pPr>
    </w:p>
    <w:p w14:paraId="06333EC1" w14:textId="77777777" w:rsidR="009518E8" w:rsidRPr="008B1789" w:rsidRDefault="009518E8" w:rsidP="009518E8">
      <w:pPr>
        <w:jc w:val="center"/>
        <w:rPr>
          <w:b/>
          <w:sz w:val="28"/>
          <w:szCs w:val="28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8_2</w:t>
      </w:r>
    </w:p>
    <w:p w14:paraId="76FB2B95" w14:textId="77777777" w:rsidR="009518E8" w:rsidRPr="00FF1477" w:rsidRDefault="009518E8" w:rsidP="009518E8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Однофакторный  непараметрический</w:t>
      </w:r>
      <w:proofErr w:type="gramEnd"/>
      <w:r>
        <w:rPr>
          <w:b/>
          <w:sz w:val="28"/>
          <w:szCs w:val="28"/>
        </w:rPr>
        <w:t xml:space="preserve"> анализ, критерий </w:t>
      </w:r>
      <w:proofErr w:type="spellStart"/>
      <w:r>
        <w:rPr>
          <w:b/>
          <w:sz w:val="28"/>
          <w:szCs w:val="28"/>
        </w:rPr>
        <w:t>Краскела-Уоллиса</w:t>
      </w:r>
      <w:proofErr w:type="spellEnd"/>
    </w:p>
    <w:p w14:paraId="071B1B53" w14:textId="77777777" w:rsidR="009518E8" w:rsidRDefault="009518E8" w:rsidP="009518E8">
      <w:pPr>
        <w:spacing w:after="120"/>
        <w:rPr>
          <w:b/>
        </w:rPr>
      </w:pPr>
    </w:p>
    <w:p w14:paraId="35F3F5A0" w14:textId="77777777" w:rsidR="009518E8" w:rsidRDefault="009518E8" w:rsidP="009518E8">
      <w:pPr>
        <w:spacing w:after="120"/>
        <w:rPr>
          <w:b/>
        </w:rPr>
      </w:pPr>
    </w:p>
    <w:p w14:paraId="6B22D6FC" w14:textId="77777777" w:rsidR="009518E8" w:rsidRDefault="009518E8" w:rsidP="009518E8">
      <w:pPr>
        <w:spacing w:after="120"/>
        <w:rPr>
          <w:b/>
        </w:rPr>
      </w:pPr>
    </w:p>
    <w:p w14:paraId="329E75E9" w14:textId="77777777" w:rsidR="009518E8" w:rsidRDefault="009518E8" w:rsidP="009518E8">
      <w:pPr>
        <w:spacing w:after="120"/>
        <w:jc w:val="right"/>
        <w:rPr>
          <w:b/>
        </w:rPr>
      </w:pPr>
    </w:p>
    <w:p w14:paraId="041E48EF" w14:textId="77777777" w:rsidR="009518E8" w:rsidRPr="007275DC" w:rsidRDefault="009518E8" w:rsidP="009518E8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18E0B1C6" w14:textId="77777777" w:rsidR="009518E8" w:rsidRPr="007275DC" w:rsidRDefault="009518E8" w:rsidP="009518E8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7F10AE33" w14:textId="77777777" w:rsidR="009518E8" w:rsidRPr="007275DC" w:rsidRDefault="009518E8" w:rsidP="009518E8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3DF7E05A" w14:textId="77777777" w:rsidR="009518E8" w:rsidRPr="007275DC" w:rsidRDefault="009518E8" w:rsidP="009518E8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6966A00E" w14:textId="77777777" w:rsidR="009518E8" w:rsidRPr="007275DC" w:rsidRDefault="009518E8" w:rsidP="009518E8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21171E3E" w14:textId="77777777" w:rsidR="009518E8" w:rsidRDefault="009518E8" w:rsidP="009518E8">
      <w:pPr>
        <w:spacing w:after="120"/>
        <w:rPr>
          <w:b/>
        </w:rPr>
      </w:pPr>
    </w:p>
    <w:p w14:paraId="29C410D9" w14:textId="77777777" w:rsidR="009518E8" w:rsidRDefault="009518E8" w:rsidP="009518E8">
      <w:pPr>
        <w:spacing w:after="120"/>
        <w:rPr>
          <w:b/>
        </w:rPr>
      </w:pPr>
    </w:p>
    <w:p w14:paraId="61C725E7" w14:textId="77777777" w:rsidR="009518E8" w:rsidRDefault="009518E8" w:rsidP="009518E8">
      <w:pPr>
        <w:spacing w:after="120"/>
        <w:rPr>
          <w:b/>
        </w:rPr>
      </w:pPr>
    </w:p>
    <w:p w14:paraId="27B8A8BE" w14:textId="70D2C8B6" w:rsidR="009518E8" w:rsidRPr="009518E8" w:rsidRDefault="009518E8" w:rsidP="009518E8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25682BBE" w14:textId="19D55207" w:rsidR="00B8202F" w:rsidRPr="00F64D09" w:rsidRDefault="00B8202F" w:rsidP="00B8202F">
      <w:pPr>
        <w:ind w:firstLine="709"/>
      </w:pPr>
      <w:r>
        <w:lastRenderedPageBreak/>
        <w:t xml:space="preserve">Результаты наблюдений составляют </w:t>
      </w:r>
      <w:r w:rsidR="006136E4" w:rsidRPr="003526C9">
        <w:rPr>
          <w:noProof/>
          <w:position w:val="-6"/>
        </w:rPr>
        <w:object w:dxaOrig="200" w:dyaOrig="279" w14:anchorId="66430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0.1pt;height:14.4pt;mso-width-percent:0;mso-height-percent:0;mso-width-percent:0;mso-height-percent:0" o:ole="">
            <v:imagedata r:id="rId5" o:title=""/>
          </v:shape>
          <o:OLEObject Type="Embed" ProgID="Equation.3" ShapeID="_x0000_i1032" DrawAspect="Content" ObjectID="_1704188506" r:id="rId6"/>
        </w:object>
      </w:r>
      <w:r>
        <w:t xml:space="preserve"> </w:t>
      </w:r>
      <w:proofErr w:type="gramStart"/>
      <w:r>
        <w:t>независимых выборок</w:t>
      </w:r>
      <w:proofErr w:type="gramEnd"/>
      <w:r>
        <w:t xml:space="preserve"> взятых из распределений с непрерывными функциями распределения. </w:t>
      </w:r>
    </w:p>
    <w:p w14:paraId="2862D6D1" w14:textId="77777777" w:rsidR="00B8202F" w:rsidRPr="00541377" w:rsidRDefault="00B8202F" w:rsidP="00B8202F">
      <w:r w:rsidRPr="00F64D09">
        <w:t xml:space="preserve">              </w:t>
      </w:r>
      <w:r w:rsidR="006136E4" w:rsidRPr="00F64D09">
        <w:rPr>
          <w:noProof/>
          <w:position w:val="-70"/>
        </w:rPr>
        <w:object w:dxaOrig="2600" w:dyaOrig="1520" w14:anchorId="0B7CCB8D">
          <v:shape id="_x0000_i1031" type="#_x0000_t75" alt="" style="width:129.6pt;height:76.3pt;mso-width-percent:0;mso-height-percent:0;mso-width-percent:0;mso-height-percent:0" o:ole="">
            <v:imagedata r:id="rId7" o:title=""/>
          </v:shape>
          <o:OLEObject Type="Embed" ProgID="Equation.3" ShapeID="_x0000_i1031" DrawAspect="Content" ObjectID="_1704188507" r:id="rId8"/>
        </w:object>
      </w:r>
      <w:r>
        <w:t xml:space="preserve">        </w:t>
      </w:r>
    </w:p>
    <w:p w14:paraId="72D7E2A5" w14:textId="77777777" w:rsidR="00B8202F" w:rsidRDefault="00B8202F" w:rsidP="00B8202F">
      <w:pPr>
        <w:ind w:firstLine="709"/>
      </w:pPr>
      <w:r w:rsidRPr="00F64D09">
        <w:t xml:space="preserve">Упорядочим все величины </w:t>
      </w:r>
      <w:r>
        <w:t xml:space="preserve">  </w:t>
      </w:r>
      <w:r w:rsidR="006136E4" w:rsidRPr="00F64D09">
        <w:rPr>
          <w:noProof/>
          <w:position w:val="-14"/>
        </w:rPr>
        <w:object w:dxaOrig="360" w:dyaOrig="380" w14:anchorId="1A5EEDB3">
          <v:shape id="_x0000_i1030" type="#_x0000_t75" alt="" style="width:18.7pt;height:19.45pt;mso-width-percent:0;mso-height-percent:0;mso-width-percent:0;mso-height-percent:0" o:ole="">
            <v:imagedata r:id="rId9" o:title=""/>
          </v:shape>
          <o:OLEObject Type="Embed" ProgID="Equation.3" ShapeID="_x0000_i1030" DrawAspect="Content" ObjectID="_1704188508" r:id="rId10"/>
        </w:object>
      </w:r>
      <w:r>
        <w:t xml:space="preserve">          </w:t>
      </w:r>
      <w:r w:rsidRPr="00F64D09">
        <w:t>по возрастанию</w:t>
      </w:r>
      <w:r>
        <w:t xml:space="preserve">.  Обозначим  </w:t>
      </w:r>
      <w:r w:rsidR="006136E4" w:rsidRPr="00F64D09">
        <w:rPr>
          <w:noProof/>
          <w:position w:val="-14"/>
        </w:rPr>
        <w:object w:dxaOrig="240" w:dyaOrig="380" w14:anchorId="7342A523">
          <v:shape id="_x0000_i1029" type="#_x0000_t75" alt="" style="width:11.5pt;height:19.45pt;mso-width-percent:0;mso-height-percent:0;mso-width-percent:0;mso-height-percent:0" o:ole="">
            <v:imagedata r:id="rId11" o:title=""/>
          </v:shape>
          <o:OLEObject Type="Embed" ProgID="Equation.3" ShapeID="_x0000_i1029" DrawAspect="Content" ObjectID="_1704188509" r:id="rId12"/>
        </w:object>
      </w:r>
      <w:r>
        <w:t xml:space="preserve">  ранг числа </w:t>
      </w:r>
      <w:r w:rsidR="006136E4" w:rsidRPr="00F64D09">
        <w:rPr>
          <w:noProof/>
          <w:position w:val="-14"/>
        </w:rPr>
        <w:object w:dxaOrig="360" w:dyaOrig="380" w14:anchorId="7057C816">
          <v:shape id="_x0000_i1028" type="#_x0000_t75" alt="" style="width:18.7pt;height:19.45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704188510" r:id="rId14"/>
        </w:object>
      </w:r>
      <w:r>
        <w:t xml:space="preserve"> во всей совокупности</w:t>
      </w:r>
    </w:p>
    <w:p w14:paraId="5F1EC229" w14:textId="77777777" w:rsidR="00B8202F" w:rsidRDefault="00B8202F" w:rsidP="00B8202F">
      <w:pPr>
        <w:ind w:firstLine="709"/>
      </w:pPr>
      <w:r w:rsidRPr="00B92ACE">
        <w:rPr>
          <w:b/>
        </w:rPr>
        <w:t xml:space="preserve">Проверяемая гипотеза </w:t>
      </w:r>
      <w:r w:rsidR="006136E4" w:rsidRPr="00B92ACE">
        <w:rPr>
          <w:b/>
          <w:noProof/>
          <w:position w:val="-12"/>
        </w:rPr>
        <w:object w:dxaOrig="480" w:dyaOrig="360" w14:anchorId="1518A84B">
          <v:shape id="_x0000_i1027" type="#_x0000_t75" alt="" style="width:24.5pt;height:18.7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704188511" r:id="rId16"/>
        </w:object>
      </w:r>
      <w:r>
        <w:t xml:space="preserve"> все </w:t>
      </w:r>
      <w:r w:rsidR="006136E4" w:rsidRPr="003526C9">
        <w:rPr>
          <w:noProof/>
          <w:position w:val="-6"/>
        </w:rPr>
        <w:object w:dxaOrig="200" w:dyaOrig="279" w14:anchorId="1E209466">
          <v:shape id="_x0000_i1026" type="#_x0000_t75" alt="" style="width:10.1pt;height:14.4pt;mso-width-percent:0;mso-height-percent:0;mso-width-percent:0;mso-height-percent:0" o:ole="">
            <v:imagedata r:id="rId5" o:title=""/>
          </v:shape>
          <o:OLEObject Type="Embed" ProgID="Equation.3" ShapeID="_x0000_i1026" DrawAspect="Content" ObjectID="_1704188512" r:id="rId17"/>
        </w:object>
      </w:r>
      <w:r>
        <w:t xml:space="preserve"> выборок однородны, т.е. являются выборками из одного и того же закона распределения.</w:t>
      </w:r>
    </w:p>
    <w:p w14:paraId="4B85A632" w14:textId="3A0B803A" w:rsidR="00B8202F" w:rsidRDefault="00B8202F" w:rsidP="00B8202F">
      <w:pPr>
        <w:ind w:left="360" w:firstLine="348"/>
        <w:jc w:val="left"/>
      </w:pPr>
      <w:r w:rsidRPr="00B92ACE">
        <w:rPr>
          <w:b/>
        </w:rPr>
        <w:t xml:space="preserve">Альтернативная гипотеза </w:t>
      </w:r>
      <w:r w:rsidR="006136E4" w:rsidRPr="00B92ACE">
        <w:rPr>
          <w:b/>
          <w:noProof/>
          <w:position w:val="-10"/>
        </w:rPr>
        <w:object w:dxaOrig="460" w:dyaOrig="340" w14:anchorId="3C5275AA">
          <v:shape id="_x0000_i1025" type="#_x0000_t75" alt="" style="width:22.3pt;height:16.55pt;mso-width-percent:0;mso-height-percent:0;mso-width-percent:0;mso-height-percent:0" o:ole="">
            <v:imagedata r:id="rId18" o:title=""/>
          </v:shape>
          <o:OLEObject Type="Embed" ProgID="Equation.3" ShapeID="_x0000_i1025" DrawAspect="Content" ObjectID="_1704188513" r:id="rId19"/>
        </w:object>
      </w:r>
      <w:r>
        <w:t xml:space="preserve"> отрицание нулевой гипотезы</w:t>
      </w:r>
    </w:p>
    <w:p w14:paraId="47AAE9C9" w14:textId="77777777" w:rsidR="00B8202F" w:rsidRDefault="00B8202F" w:rsidP="00B8202F">
      <w:pPr>
        <w:ind w:left="360"/>
        <w:jc w:val="left"/>
      </w:pPr>
    </w:p>
    <w:p w14:paraId="2EE09FE4" w14:textId="3263C352" w:rsidR="00B8202F" w:rsidRDefault="00B8202F" w:rsidP="00B8202F">
      <w:pPr>
        <w:pStyle w:val="a3"/>
        <w:numPr>
          <w:ilvl w:val="0"/>
          <w:numId w:val="1"/>
        </w:numPr>
        <w:jc w:val="left"/>
      </w:pPr>
      <w:r>
        <w:t>Сформируем вариационный ряд из выборок.</w:t>
      </w:r>
    </w:p>
    <w:p w14:paraId="7A62CD49" w14:textId="77777777" w:rsidR="00B8202F" w:rsidRDefault="00B8202F" w:rsidP="00B8202F">
      <w:pPr>
        <w:pStyle w:val="a3"/>
        <w:numPr>
          <w:ilvl w:val="0"/>
          <w:numId w:val="1"/>
        </w:numPr>
      </w:pPr>
      <w:r>
        <w:t xml:space="preserve">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ij</m:t>
            </m:r>
          </m:sub>
        </m:sSub>
      </m:oMath>
      <w:r>
        <w:t xml:space="preserve">  ранг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ij</m:t>
            </m:r>
          </m:sub>
        </m:sSub>
      </m:oMath>
      <w:r>
        <w:t xml:space="preserve"> во всей совокупности.</w:t>
      </w:r>
    </w:p>
    <w:p w14:paraId="3B6A5318" w14:textId="77777777" w:rsidR="00B8202F" w:rsidRDefault="00B8202F" w:rsidP="00B8202F">
      <w:pPr>
        <w:pStyle w:val="a3"/>
        <w:numPr>
          <w:ilvl w:val="0"/>
          <w:numId w:val="1"/>
        </w:numPr>
        <w:jc w:val="left"/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R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den>
        </m:f>
        <m:r>
          <w:rPr>
            <w:rFonts w:ascii="Cambria Math"/>
          </w:rPr>
          <m:t>⋅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ij</m:t>
                </m:r>
              </m:sub>
            </m:sSub>
          </m:e>
        </m:nary>
      </m:oMath>
      <w:r>
        <w:t xml:space="preserve"> - средний ранг по выборке, </w:t>
      </w:r>
      <m:oMath>
        <m:r>
          <w:rPr>
            <w:rFonts w:ascii="Cambria Math"/>
          </w:rPr>
          <m:t>i=1,</m:t>
        </m:r>
        <m:r>
          <w:rPr>
            <w:rFonts w:ascii="Cambria Math"/>
          </w:rPr>
          <m:t>…</m:t>
        </m:r>
        <m:r>
          <w:rPr>
            <w:rFonts w:ascii="Cambria Math"/>
          </w:rPr>
          <m:t>,k.</m:t>
        </m:r>
      </m:oMath>
    </w:p>
    <w:p w14:paraId="79029702" w14:textId="77777777" w:rsidR="00B8202F" w:rsidRDefault="00B8202F" w:rsidP="00B8202F">
      <w:pPr>
        <w:pStyle w:val="a3"/>
        <w:numPr>
          <w:ilvl w:val="0"/>
          <w:numId w:val="1"/>
        </w:numPr>
        <w:jc w:val="left"/>
      </w:pPr>
      <w:r>
        <w:t xml:space="preserve">Для проверки на наличие систематических различий вычислим среднее по всей совокупности рангов </w:t>
      </w:r>
      <m:oMath>
        <m:r>
          <w:rPr>
            <w:rFonts w:ascii="Cambria Math"/>
          </w:rPr>
          <m:t>(n+1)/2</m:t>
        </m:r>
      </m:oMath>
      <w:r>
        <w:t xml:space="preserve">, где </w:t>
      </w:r>
      <m:oMath>
        <m:r>
          <w:rPr>
            <w:rFonts w:ascii="Cambria Math"/>
          </w:rPr>
          <m:t>n=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>
        <w:t>. Если между выборками нет систематических различий введенные средние ранги не должны сильно отличаться от среднего ранга.</w:t>
      </w:r>
      <w:r w:rsidRPr="008A0AC1">
        <w:t xml:space="preserve"> </w:t>
      </w:r>
      <w:r>
        <w:t>Средний ранг первой выборки значительно отличается от общего среднего, что говорит о ее отличии от других. На предыдущем этапе работы мы выяснили, что эта выборка имеет другое мат. ожидание.</w:t>
      </w:r>
    </w:p>
    <w:p w14:paraId="73681904" w14:textId="77777777" w:rsidR="00B8202F" w:rsidRDefault="00B8202F" w:rsidP="00B8202F">
      <w:pPr>
        <w:pStyle w:val="a3"/>
        <w:numPr>
          <w:ilvl w:val="0"/>
          <w:numId w:val="1"/>
        </w:numPr>
        <w:jc w:val="left"/>
      </w:pPr>
      <w:r>
        <w:t>Вычислим значение статистики критерия</w:t>
      </w:r>
      <w:r>
        <w:br/>
      </w: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</m:t>
              </m:r>
            </m:num>
            <m:den>
              <m:r>
                <w:rPr>
                  <w:rFonts w:ascii="Cambria Math"/>
                </w:rPr>
                <m:t>n(n+1)</m:t>
              </m:r>
            </m:den>
          </m:f>
          <m:r>
            <w:rPr>
              <w:rFonts w:ascii="Cambria Math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B94A0DE" w14:textId="77777777" w:rsidR="00B8202F" w:rsidRDefault="00B8202F" w:rsidP="00B8202F">
      <w:pPr>
        <w:pStyle w:val="a3"/>
        <w:numPr>
          <w:ilvl w:val="0"/>
          <w:numId w:val="1"/>
        </w:numPr>
        <w:jc w:val="left"/>
      </w:pPr>
      <w:r>
        <w:t xml:space="preserve">Найдем квантиль распределения хи-квадрат уровня </w:t>
      </w:r>
      <m:oMath>
        <m:r>
          <w:rPr>
            <w:rFonts w:ascii="Cambria Math" w:hAnsi="Cambria Math"/>
          </w:rPr>
          <m:t xml:space="preserve">α=0,05 </m:t>
        </m:r>
        <m:r>
          <m:rPr>
            <m:sty m:val="p"/>
          </m:rPr>
          <w:rPr>
            <w:rFonts w:ascii="Cambria Math" w:hAnsi="Cambria Math"/>
          </w:rPr>
          <m:t>с</m:t>
        </m:r>
        <m:r>
          <w:rPr>
            <w:rFonts w:ascii="Cambria Math" w:hAnsi="Cambria Math"/>
          </w:rPr>
          <m:t xml:space="preserve"> k-1</m:t>
        </m:r>
      </m:oMath>
      <w:r w:rsidRPr="004E429D">
        <w:t xml:space="preserve"> </w:t>
      </w:r>
      <w:r>
        <w:t>степенями свободы.</w:t>
      </w:r>
    </w:p>
    <w:p w14:paraId="0FEC4C94" w14:textId="5FC17A9E" w:rsidR="00B8202F" w:rsidRDefault="00157E47" w:rsidP="00B8202F">
      <w:pPr>
        <w:pStyle w:val="a3"/>
        <w:numPr>
          <w:ilvl w:val="0"/>
          <w:numId w:val="1"/>
        </w:numPr>
        <w:jc w:val="left"/>
      </w:pPr>
      <w:r w:rsidRPr="00972FD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326870" wp14:editId="651CCA49">
            <wp:simplePos x="0" y="0"/>
            <wp:positionH relativeFrom="margin">
              <wp:posOffset>1492885</wp:posOffset>
            </wp:positionH>
            <wp:positionV relativeFrom="paragraph">
              <wp:posOffset>945515</wp:posOffset>
            </wp:positionV>
            <wp:extent cx="2955290" cy="1822450"/>
            <wp:effectExtent l="0" t="0" r="381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0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46C33" wp14:editId="1C89F85F">
                <wp:simplePos x="0" y="0"/>
                <wp:positionH relativeFrom="column">
                  <wp:posOffset>1492250</wp:posOffset>
                </wp:positionH>
                <wp:positionV relativeFrom="paragraph">
                  <wp:posOffset>2908300</wp:posOffset>
                </wp:positionV>
                <wp:extent cx="295529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5C51F" w14:textId="77777777" w:rsidR="00B8202F" w:rsidRPr="00437474" w:rsidRDefault="00B8202F" w:rsidP="00B8202F">
                            <w:pPr>
                              <w:pStyle w:val="a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Таблица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Результаты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46C3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17.5pt;margin-top:229pt;width:232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" stroked="f">
                <v:textbox style="mso-fit-shape-to-text:t" inset="0,0,0,0">
                  <w:txbxContent>
                    <w:p w14:paraId="2C15C51F" w14:textId="77777777" w:rsidR="00B8202F" w:rsidRPr="00437474" w:rsidRDefault="00B8202F" w:rsidP="00B8202F">
                      <w:pPr>
                        <w:pStyle w:val="a4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Результаты вычислений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202F">
        <w:t xml:space="preserve">Результаты вычислений приведены в табл. 3. Поскольку значение статистики </w:t>
      </w:r>
      <m:oMath>
        <m:r>
          <w:rPr>
            <w:rFonts w:ascii="Cambria Math" w:hAnsi="Cambria Math"/>
          </w:rPr>
          <m:t xml:space="preserve">H&gt;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α,k-1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8202F" w:rsidRPr="004E429D">
        <w:t xml:space="preserve"> </w:t>
      </w:r>
      <w:r w:rsidR="00B8202F">
        <w:t>гипотеза Н</w:t>
      </w:r>
      <w:r w:rsidR="00B8202F">
        <w:rPr>
          <w:vertAlign w:val="subscript"/>
        </w:rPr>
        <w:t>0</w:t>
      </w:r>
      <w:r w:rsidR="00B8202F">
        <w:t xml:space="preserve"> отклоняется – не все выборки не однородны.</w:t>
      </w:r>
      <w:r w:rsidR="00B8202F" w:rsidRPr="00972FD7">
        <w:rPr>
          <w:noProof/>
        </w:rPr>
        <w:t xml:space="preserve"> </w:t>
      </w:r>
    </w:p>
    <w:p w14:paraId="77427AD7" w14:textId="77777777" w:rsidR="00B8202F" w:rsidRDefault="00B8202F" w:rsidP="00B8202F">
      <w:pPr>
        <w:pStyle w:val="1"/>
      </w:pPr>
      <w:r>
        <w:t>Вывод</w:t>
      </w:r>
    </w:p>
    <w:p w14:paraId="4C6F8955" w14:textId="7CB553ED" w:rsidR="00B8202F" w:rsidRPr="00CA0DF1" w:rsidRDefault="00B8202F" w:rsidP="00B8202F">
      <w:r>
        <w:tab/>
        <w:t xml:space="preserve">Был проведен анализ однородности выборок. Он показал, что не все выборки однородны, что еще раз подтверждает предыдущую гипотезу. </w:t>
      </w:r>
    </w:p>
    <w:p w14:paraId="79DE1CC1" w14:textId="77777777" w:rsidR="00E30DCF" w:rsidRDefault="00E30DCF"/>
    <w:sectPr w:rsidR="00E30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07C0D"/>
    <w:multiLevelType w:val="hybridMultilevel"/>
    <w:tmpl w:val="7090BE56"/>
    <w:lvl w:ilvl="0" w:tplc="6688E56A">
      <w:start w:val="1"/>
      <w:numFmt w:val="decimal"/>
      <w:lvlText w:val="%1."/>
      <w:lvlJc w:val="left"/>
      <w:pPr>
        <w:ind w:left="720" w:hanging="360"/>
      </w:pPr>
      <w:rPr>
        <w:rFonts w:ascii="PT Serif" w:eastAsia="Times New Roman" w:hAnsi="PT Serif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CF"/>
    <w:rsid w:val="00157E47"/>
    <w:rsid w:val="00462817"/>
    <w:rsid w:val="006136E4"/>
    <w:rsid w:val="008F43EC"/>
    <w:rsid w:val="009518E8"/>
    <w:rsid w:val="00B8202F"/>
    <w:rsid w:val="00C34091"/>
    <w:rsid w:val="00E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0747"/>
  <w15:chartTrackingRefBased/>
  <w15:docId w15:val="{725A70B6-B4C2-9F47-8E79-8C686C57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02F"/>
    <w:pPr>
      <w:spacing w:line="360" w:lineRule="auto"/>
      <w:jc w:val="both"/>
    </w:pPr>
    <w:rPr>
      <w:rFonts w:ascii="PT Serif" w:eastAsia="Times New Roman" w:hAnsi="PT Serif" w:cs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B8202F"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202F"/>
    <w:rPr>
      <w:rFonts w:ascii="Cambria" w:eastAsia="Times New Roman" w:hAnsi="Cambria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B8202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820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Романычев Леонид Романович</dc:creator>
  <cp:keywords/>
  <dc:description/>
  <cp:lastModifiedBy>Романычев Леонид Романович</cp:lastModifiedBy>
  <cp:revision>4</cp:revision>
  <dcterms:created xsi:type="dcterms:W3CDTF">2022-01-16T21:52:00Z</dcterms:created>
  <dcterms:modified xsi:type="dcterms:W3CDTF">2022-01-20T09:52:00Z</dcterms:modified>
</cp:coreProperties>
</file>