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3</w:t>
        <w:br/>
        <w:t>Коммутатор, VLAN и trunk 802.1Q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Цель работы - показать изоляцию VLAN на канальном уровне и подтвердить, что по trunk между коммутаторами передаются кадры с тегом 802.1Q.</w:t>
      </w:r>
    </w:p>
    <w:p>
      <w:r>
        <w:rPr>
          <w:rFonts w:ascii="Times New Roman" w:hAnsi="Times New Roman" w:eastAsia="Times New Roman"/>
          <w:b/>
          <w:sz w:val="28"/>
        </w:rPr>
        <w:t>1. Уточнение методики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В исходном плане была логическая ошибка: при размещении VLAN10 только на SW1, а VLAN20 только на SW2 трафик PC1 -&gt; PC2 не проходил бы по trunk.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Для воспроизводимого результата схема скорректирована: PC1 и PC3 помещены в VLAN10, PC2 и PC4 - в VLAN20. Захват выполняется на trunk при ping PC1 -&gt; PC3.</w:t>
      </w:r>
    </w:p>
    <w:p>
      <w:r>
        <w:drawing>
          <wp:inline xmlns:a="http://schemas.openxmlformats.org/drawingml/2006/main" xmlns:pic="http://schemas.openxmlformats.org/drawingml/2006/picture">
            <wp:extent cx="5577840" cy="104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revision_no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4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1 - внесенное уточнение для корректного прохождения трафика по trunk</w:t>
      </w:r>
    </w:p>
    <w:p>
      <w:r>
        <w:rPr>
          <w:rFonts w:ascii="Times New Roman" w:hAnsi="Times New Roman" w:eastAsia="Times New Roman"/>
          <w:b/>
          <w:sz w:val="28"/>
        </w:rPr>
        <w:t>2. Схема и адресация</w:t>
      </w:r>
    </w:p>
    <w:p>
      <w:r>
        <w:drawing>
          <wp:inline xmlns:a="http://schemas.openxmlformats.org/drawingml/2006/main" xmlns:pic="http://schemas.openxmlformats.org/drawingml/2006/picture">
            <wp:extent cx="5943600" cy="3529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2 - итоговая схема VLAN10/VLAN20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Узел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IP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VLAN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PC1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10.10.10.10/24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PC2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10.20.20.20/24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PC3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10.10.10.30/24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10.20.20.40/24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3. Настройка OVS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На обоих OVS-коммутаторах создан bridge br0, trunk настроен на eth0, access-порты размечены тегами VLAN10 и VLAN20.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SW1: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add-br br0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set port eth0 trunks=10,20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eth1 tag=10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eth2 tag=20</w:t>
      </w:r>
    </w:p>
    <w:p>
      <w:r>
        <w:rPr>
          <w:rFonts w:ascii="Times New Roman" w:hAnsi="Times New Roman" w:eastAsia="Times New Roman"/>
          <w:b/>
          <w:sz w:val="28"/>
        </w:rPr>
        <w:t>4. Проверки</w:t>
      </w:r>
    </w:p>
    <w:p>
      <w:r>
        <w:drawing>
          <wp:inline xmlns:a="http://schemas.openxmlformats.org/drawingml/2006/main" xmlns:pic="http://schemas.openxmlformats.org/drawingml/2006/picture">
            <wp:extent cx="5303520" cy="1060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ping_vlan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3 - успешный ping внутри VLAN10 (PC1 -&gt; PC3)</w:t>
      </w:r>
    </w:p>
    <w:p>
      <w:r>
        <w:drawing>
          <wp:inline xmlns:a="http://schemas.openxmlformats.org/drawingml/2006/main" xmlns:pic="http://schemas.openxmlformats.org/drawingml/2006/picture">
            <wp:extent cx="5303520" cy="1060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ping_vlan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4 - успешный ping внутри VLAN20 (PC2 -&gt; PC4)</w:t>
      </w:r>
    </w:p>
    <w:p>
      <w:r>
        <w:drawing>
          <wp:inline xmlns:a="http://schemas.openxmlformats.org/drawingml/2006/main" xmlns:pic="http://schemas.openxmlformats.org/drawingml/2006/picture">
            <wp:extent cx="5303520" cy="11844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ping_intervlan_f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8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5 - отсутствие связи между VLAN10 и VLAN20</w:t>
      </w:r>
    </w:p>
    <w:p>
      <w:r>
        <w:rPr>
          <w:rFonts w:ascii="Times New Roman" w:hAnsi="Times New Roman" w:eastAsia="Times New Roman"/>
          <w:b/>
          <w:sz w:val="28"/>
        </w:rPr>
        <w:t>5. Анализ trunk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В pcap на trunk видно, что кадр ICMP Echo Request несет тег 802.1Q с VLAN ID = 10. Это подтверждает работу trunk и перенос нескольких VLAN по одному физическому линку.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trunk_cap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6 - pcap на trunk: виден тег 802.1Q и VLAN ID = 10</w:t>
      </w:r>
    </w:p>
    <w:p>
      <w:r>
        <w:rPr>
          <w:rFonts w:ascii="Times New Roman" w:hAnsi="Times New Roman" w:eastAsia="Times New Roman"/>
          <w:b/>
          <w:sz w:val="28"/>
        </w:rPr>
        <w:t>6. Вывод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Изоляция VLAN подтверждена фактом отсутствия inter-VLAN связности, а на trunk зафиксирован тегированный трафик VLAN10. Исправленная постановка делает лабораторную воспроизводимой и удобной для выдачи студентам как образцовый вариант.</w:t>
      </w:r>
    </w:p>
    <w:sectPr w:rsidR="00FC693F" w:rsidRPr="0006063C" w:rsidSect="00034616">
      <w:pgSz w:w="12240" w:h="15840"/>
      <w:pgMar w:top="1152" w:right="1008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