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pntr3xl4tlh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Технічне тестове завдання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Посада:</w:t>
      </w:r>
      <w:r w:rsidDel="00000000" w:rsidR="00000000" w:rsidRPr="00000000">
        <w:rPr>
          <w:rtl w:val="0"/>
        </w:rPr>
        <w:t xml:space="preserve"> Python Engineer (Trainee/Junior)</w:t>
        <w:br w:type="textWrapping"/>
      </w:r>
      <w:r w:rsidDel="00000000" w:rsidR="00000000" w:rsidRPr="00000000">
        <w:rPr>
          <w:b w:val="1"/>
          <w:rtl w:val="0"/>
        </w:rPr>
        <w:t xml:space="preserve">Тематика:</w:t>
      </w:r>
      <w:r w:rsidDel="00000000" w:rsidR="00000000" w:rsidRPr="00000000">
        <w:rPr>
          <w:rtl w:val="0"/>
        </w:rPr>
        <w:t xml:space="preserve"> Бектестинг торгових стратегій з використанням VectorBT</w:t>
        <w:br w:type="textWrapping"/>
      </w:r>
      <w:r w:rsidDel="00000000" w:rsidR="00000000" w:rsidRPr="00000000">
        <w:rPr>
          <w:b w:val="1"/>
          <w:rtl w:val="0"/>
        </w:rPr>
        <w:t xml:space="preserve">Тривалість виконання:</w:t>
      </w:r>
      <w:r w:rsidDel="00000000" w:rsidR="00000000" w:rsidRPr="00000000">
        <w:rPr>
          <w:rtl w:val="0"/>
        </w:rPr>
        <w:t xml:space="preserve"> 1 повний робочий день</w:t>
        <w:br w:type="textWrapping"/>
      </w: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Оцінити вміння кандидата будувати масштабовану, чисту, документовану інфраструктуру для бектестингу та аналізу стратегій на високочастотних ринкових даних.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nkqbjbrb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Вступ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Необхідно реалізувати систему для аналізу та бектестингу декількох торгових стратегій на основі 1-хвилинних OHLCV-даних для 100 торгових пар до BTC на Binance за </w:t>
      </w:r>
      <w:r w:rsidDel="00000000" w:rsidR="00000000" w:rsidRPr="00000000">
        <w:rPr>
          <w:b w:val="1"/>
          <w:rtl w:val="0"/>
        </w:rPr>
        <w:t xml:space="preserve">повний лютий 2025 року</w:t>
      </w:r>
      <w:r w:rsidDel="00000000" w:rsidR="00000000" w:rsidRPr="00000000">
        <w:rPr>
          <w:rtl w:val="0"/>
        </w:rPr>
        <w:t xml:space="preserve">.</w:t>
        <w:br w:type="textWrapping"/>
        <w:t xml:space="preserve">Фреймворк для бектестингу: </w:t>
      </w:r>
      <w:r w:rsidDel="00000000" w:rsidR="00000000" w:rsidRPr="00000000">
        <w:rPr>
          <w:b w:val="1"/>
          <w:rtl w:val="0"/>
        </w:rPr>
        <w:t xml:space="preserve">VectorBT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У завданні важлива не лише функціональність, а й архітектура, масштабованість та якість реалізації. Простий та поверхневий код оцінюватися не буде.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wpcml2mht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Загальні вимоги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Дані: 1m OHLCV, 100 пар до BTC 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Binance</w:t>
        </w:r>
      </w:hyperlink>
      <w:r w:rsidDel="00000000" w:rsidR="00000000" w:rsidRPr="00000000">
        <w:rPr>
          <w:rtl w:val="0"/>
        </w:rPr>
        <w:t xml:space="preserve">, 01.02.2025 — 28.02.2025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Бектест: з урахуванням комісії, сліпейджу, можливого дрифту часу між сигналом і виконанням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Результати: збереження графіків, метрик, таблиць, агрегація статистики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 повинен бути модульним, протестованим (unit-тести на ключові частини), оформленим відповідно до PEP8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Перевага надається структурі, яку можна масштабувати під більший портфель/таймфрейм/біржу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xjnxf4w4o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Завдання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akxf4ehsv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Завантаження та обробка даних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Написати модуль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data_loader</w:t>
      </w:r>
      <w:r w:rsidDel="00000000" w:rsidR="00000000" w:rsidRPr="00000000">
        <w:rPr>
          <w:rtl w:val="0"/>
        </w:rPr>
        <w:t xml:space="preserve">, який: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завантажує історичні дані 1m 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Binance Data Vision</w:t>
        </w:r>
      </w:hyperlink>
      <w:r w:rsidDel="00000000" w:rsidR="00000000" w:rsidRPr="00000000">
        <w:rPr>
          <w:rtl w:val="0"/>
        </w:rPr>
        <w:t xml:space="preserve"> за вказаний період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дозволяє обрати 100 найліквідніших пар до BTC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зберігає зведений датасет у форматі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.parquet</w:t>
      </w:r>
      <w:r w:rsidDel="00000000" w:rsidR="00000000" w:rsidRPr="00000000">
        <w:rPr>
          <w:rtl w:val="0"/>
        </w:rPr>
        <w:t xml:space="preserve"> з компресією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реалізує кешування та перевірку цілісності даних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m68ocd0nb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Інтерфейс стратегії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Необхідно реалізувати базовий абстрактний інтерфейс для торгових стратегій (рекомендація, не є обов’язковим):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StrategyBase(ABC):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price_data: pd.DataFrame):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...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@abstractmethod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generate_signals(self) -&gt; pd.DataFrame: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@abstractmethod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run_backtest(self) -&gt; pd.DataFrame: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@abstractmethod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get_metrics(self) -&gt; dict: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1q8198xeq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Реалізація стратегій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Реалізувати щонайменше </w:t>
      </w:r>
      <w:r w:rsidDel="00000000" w:rsidR="00000000" w:rsidRPr="00000000">
        <w:rPr>
          <w:b w:val="1"/>
          <w:rtl w:val="0"/>
        </w:rPr>
        <w:t xml:space="preserve">три незалежні</w:t>
      </w:r>
      <w:r w:rsidDel="00000000" w:rsidR="00000000" w:rsidRPr="00000000">
        <w:rPr>
          <w:rtl w:val="0"/>
        </w:rPr>
        <w:t xml:space="preserve"> торгові стратегії з різним рівнем складності. Приклади можливих реалізацій: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 Crossover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Класична стратегія перетину двох ковзних середніх (з фільтрами по волатильності)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RSI with Bollinger Band confirmation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Вхід по RSI &lt; 30, підтвердження через відскок від нижньої межі BB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VWAP Reversion Intraday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Відкриття позиції при значному відхиленні від VWAP з поверненням до нього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Multi-timeframe Momentum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Комбінування сигналів з різних таймфреймів (наприклад, 1m + 15m)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ATR-based trailing breakout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Стратегія з підтягуванням стопів по ATR та вхідними умовами на пробиття локального максимуму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 spike breakout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Детекція об'єму через локальні дельти, вхід на пробиття з підвищеним об'ємом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ijl2xayl4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Бектест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Написати модуль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backtester</w:t>
      </w:r>
      <w:r w:rsidDel="00000000" w:rsidR="00000000" w:rsidRPr="00000000">
        <w:rPr>
          <w:rtl w:val="0"/>
        </w:rPr>
        <w:t xml:space="preserve">, який: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приймає стратегію (через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StrategyBase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виконує бектест на всіх парах одночасно через VectorBT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вираховує ключові метрики: total return, Sharpe ratio, max drawdown, winrate, expectancy, exposure time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зберігає результати в таблиці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та графіки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.png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2aim26pye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Вивід результатів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кожної стратегії: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Equity curve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Heatmap по performance для всіх 100 пар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Порівняння метрик по стратегіях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Опціонально: згенерувати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 звіт з інтерактивними графіками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n2s5pg719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Очікувана структура проєкту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project/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core/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data_loader.py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backtester.py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metrics.py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strategies/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base.py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sma_cross.py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rsi_bb.py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vwap_reversion.py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tests/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test_backtester.py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test_strategies.py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data/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btc_1m_feb25.parquet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results/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metrics.csv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screenshots/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strategy1_equity.png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main.py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requirements.txt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ta35gha71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Технічні вимоги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≥ 3.10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Використання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vectorbt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pyarrow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Опціонально: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ccxt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Розбиття на модулі, використання класів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Документація до кожного класу та функції (docstrings)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Мінімум 1 unit-тест на кожну стратегію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puqtlvzhb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Як здати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Репозиторій на GitHub (публічний)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 з: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інструкцією по запуску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описом кожної стратегії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висновками по результатах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Графіки та результати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/results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Дані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.parquet</w:t>
      </w:r>
      <w:r w:rsidDel="00000000" w:rsidR="00000000" w:rsidRPr="00000000">
        <w:rPr>
          <w:rtl w:val="0"/>
        </w:rPr>
        <w:t xml:space="preserve"> форматі або скрипт їх отримання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9p9ylkgkr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Критерії оцінювання</w:t>
      </w:r>
    </w:p>
    <w:tbl>
      <w:tblPr>
        <w:tblStyle w:val="Table1"/>
        <w:tblW w:w="4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5"/>
        <w:gridCol w:w="740"/>
        <w:tblGridChange w:id="0">
          <w:tblGrid>
            <w:gridCol w:w="4085"/>
            <w:gridCol w:w="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Архітектура, масштабованість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Якість коду, стиль, типізація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Документація,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Обробка даних і коректність бектесту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Аналіз результатів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binance.vision/?prefix=data/" TargetMode="External"/><Relationship Id="rId7" Type="http://schemas.openxmlformats.org/officeDocument/2006/relationships/hyperlink" Target="https://data.binance.vision/?prefix=da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