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Создайте класс BadHarmonicMean. Конструктор класса BadHarmonicMean принимает вещественное число — значение, которое привело к исключению, а методом Show выводит сообщение: "Harmonic mean exception" и значение, которое привело к исключению. Протестируйте программу на векторах:</w:t>
      </w:r>
    </w:p>
    <w:p w:rsidR="00000000" w:rsidDel="00000000" w:rsidP="00000000" w:rsidRDefault="00000000" w:rsidRPr="00000000" w14:paraId="00000002">
      <w:pPr>
        <w:spacing w:after="160" w:line="259" w:lineRule="auto"/>
        <w:ind w:left="70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array1[2] = {0.0, 0.0};</w:t>
        <w:br w:type="textWrapping"/>
        <w:t xml:space="preserve">float array2[2] = {1.5, -1.5};</w:t>
        <w:br w:type="textWrapping"/>
        <w:t xml:space="preserve">float array3[2] = {2.3, 0.5};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Перепишите класс исключения BadHarmonicMean так, чтобы он наследовался от класса exception. Виртуальный метод what() должен выводить строку "Harmonic mean exception".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