
<file path=[Content_Types].xml><?xml version="1.0" encoding="utf-8"?>
<Types xmlns="http://schemas.openxmlformats.org/package/2006/content-types">
  <Default ContentType="image/png" Extension="png"/>
  <Default ContentType="application/xml" Extension="xml"/>
  <Default ContentType="application/vnd.openxmlformats-package.relationships+xml" Extension="rels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1" Target="word/document.xml" Type="http://schemas.openxmlformats.org/officeDocument/2006/relationships/officeDocument"/>
  <Relationship Id="rId2" Target="docProps/app.xml" Type="http://schemas.openxmlformats.org/officeDocument/2006/relationships/extended-properties"/>
  <Relationship Id="rId3" Target="docProps/core.xml" Type="http://schemas.openxmlformats.org/package/2006/relationships/metadata/core-properties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  <w:spacing w:line="360" w:lineRule="auto"/>
        <w:ind/>
        <w:jc w:val="center"/>
        <w:rPr>
          <w:rFonts w:ascii="Times New Roman" w:hAnsi="Times New Roman"/>
          <w:b w:val="1"/>
          <w:sz w:val="32"/>
          <w:shd w:fill="FFD821" w:val="clear"/>
        </w:rPr>
      </w:pPr>
      <w:r>
        <w:rPr>
          <w:rFonts w:ascii="Times New Roman" w:hAnsi="Times New Roman"/>
          <w:b w:val="1"/>
          <w:sz w:val="32"/>
          <w:shd w:fill="FFD821" w:val="clear"/>
        </w:rPr>
        <w:t xml:space="preserve"> Белла-Лападуллы </w:t>
      </w:r>
    </w:p>
    <w:p w14:paraId="02000000">
      <w:pPr>
        <w:pStyle w:val="Style_1"/>
        <w:numPr>
          <w:numId w:val="1"/>
        </w:numPr>
        <w:ind/>
        <w:jc w:val="both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Основаны на гос.органах, правилах секретного документооборота</w:t>
      </w:r>
    </w:p>
    <w:p w14:paraId="03000000">
      <w:pPr>
        <w:pStyle w:val="Style_1"/>
        <w:ind/>
        <w:jc w:val="both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(Вводятся "Уровни безопасности")</w:t>
      </w:r>
    </w:p>
    <w:p w14:paraId="04000000">
      <w:pPr>
        <w:pStyle w:val="Style_1"/>
        <w:ind/>
        <w:jc w:val="both"/>
        <w:rPr>
          <w:rFonts w:ascii="Times New Roman" w:hAnsi="Times New Roman"/>
          <w:b w:val="0"/>
        </w:rPr>
      </w:pPr>
    </w:p>
    <w:p w14:paraId="05000000">
      <w:pPr>
        <w:pStyle w:val="Style_1"/>
        <w:numPr>
          <w:numId w:val="2"/>
        </w:numPr>
        <w:ind/>
        <w:jc w:val="both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Уровень совершенно секретно &gt; уровень секретно</w:t>
      </w:r>
    </w:p>
    <w:p w14:paraId="06000000">
      <w:pPr>
        <w:pStyle w:val="Style_1"/>
        <w:ind/>
        <w:jc w:val="both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(Контроль доступа осуществляется на основании правил: S имеет право читать только те документы, уровень безопасности [УБ] которых не превышает его собственный уровень безопасности)</w:t>
      </w:r>
    </w:p>
    <w:p w14:paraId="07000000">
      <w:pPr>
        <w:pStyle w:val="Style_1"/>
        <w:numPr>
          <w:numId w:val="2"/>
        </w:numPr>
        <w:ind/>
        <w:jc w:val="both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S имеет право заносить информацию только в те документы, УБ которых не ниже его собственного УБ. </w:t>
      </w:r>
    </w:p>
    <w:p w14:paraId="08000000">
      <w:pPr>
        <w:pStyle w:val="Style_1"/>
        <w:ind/>
        <w:jc w:val="both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(Предотвращает утечку информации со стороны высокоуровневых участников к низкоуровневым участникам).</w:t>
      </w:r>
    </w:p>
    <w:p w14:paraId="09000000">
      <w:pPr>
        <w:pStyle w:val="Style_1"/>
        <w:ind/>
        <w:jc w:val="both"/>
        <w:rPr>
          <w:rFonts w:ascii="Times New Roman" w:hAnsi="Times New Roman"/>
          <w:b w:val="0"/>
        </w:rPr>
      </w:pPr>
    </w:p>
    <w:p w14:paraId="0A000000">
      <w:pPr>
        <w:pStyle w:val="Style_1"/>
        <w:ind/>
        <w:jc w:val="both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L – уровни доступа </w:t>
      </w:r>
    </w:p>
    <w:p w14:paraId="0B000000">
      <w:pPr>
        <w:pStyle w:val="Style_1"/>
        <w:ind/>
        <w:jc w:val="both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F: S || O –&gt; L</w:t>
      </w:r>
    </w:p>
    <w:p w14:paraId="0C000000">
      <w:pPr>
        <w:pStyle w:val="Style_1"/>
        <w:spacing w:line="276" w:lineRule="auto"/>
        <w:ind/>
        <w:jc w:val="both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(На множестве L определим: алгебраическую структуру [решётка])</w:t>
      </w:r>
    </w:p>
    <w:p w14:paraId="0D000000">
      <w:pPr>
        <w:pStyle w:val="Style_1"/>
        <w:ind/>
        <w:jc w:val="both"/>
        <w:rPr>
          <w:rFonts w:ascii="Times New Roman" w:hAnsi="Times New Roman"/>
          <w:b w:val="0"/>
        </w:rPr>
      </w:pPr>
      <m:oMathPara>
        <m:oMath>
          <m:r>
            <w:rPr>
              <w:rFonts w:ascii="Cambria Math" w:hAnsi="Cambria Math"/>
              <w:sz w:val="43"/>
            </w:rPr>
            <m:t>Λ</m:t>
          </m:r>
        </m:oMath>
      </m:oMathPara>
      <w:r>
        <w:rPr>
          <w:rFonts w:ascii="Times New Roman" w:hAnsi="Times New Roman"/>
          <w:b w:val="0"/>
        </w:rPr>
        <w:t xml:space="preserve"> = (L, &lt;=,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4"/>
          <w:highlight w:val="white"/>
        </w:rPr>
        <w:t xml:space="preserve"> </w:t>
      </w:r>
      <w:r>
        <w:rPr>
          <w:rFonts w:ascii="Times New Roman" w:hAnsi="Times New Roman"/>
        </w:rPr>
        <w:t>•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  <w:highlight w:val="white"/>
        </w:rPr>
        <w:t>,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4"/>
          <w:highlight w:val="white"/>
        </w:rPr>
        <w:t xml:space="preserve"> 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4"/>
          <w:highlight w:val="white"/>
        </w:rPr>
        <w:t>×</w:t>
      </w:r>
      <w:r>
        <w:rPr>
          <w:rFonts w:ascii="Times New Roman" w:hAnsi="Times New Roman"/>
          <w:b w:val="0"/>
        </w:rPr>
        <w:t>) – решётка.</w:t>
      </w:r>
    </w:p>
    <w:p w14:paraId="0E000000">
      <w:pPr>
        <w:pStyle w:val="Style_1"/>
        <w:ind/>
        <w:jc w:val="both"/>
        <w:rPr>
          <w:rFonts w:ascii="Times New Roman" w:hAnsi="Times New Roman"/>
          <w:b w:val="0"/>
        </w:rPr>
      </w:pPr>
    </w:p>
    <w:p w14:paraId="0F000000">
      <w:pPr>
        <w:pStyle w:val="Style_1"/>
        <w:numPr>
          <w:numId w:val="3"/>
        </w:numPr>
        <w:ind/>
        <w:jc w:val="both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Рефлексивность (a &lt;= a)</w:t>
      </w:r>
    </w:p>
    <w:p w14:paraId="10000000">
      <w:pPr>
        <w:pStyle w:val="Style_1"/>
        <w:numPr>
          <w:numId w:val="3"/>
        </w:numPr>
        <w:ind/>
        <w:jc w:val="both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Симметричность (a &lt;= b &lt;=&gt; b &lt;= a)</w:t>
      </w:r>
    </w:p>
    <w:p w14:paraId="11000000">
      <w:pPr>
        <w:pStyle w:val="Style_1"/>
        <w:numPr>
          <w:numId w:val="3"/>
        </w:numPr>
        <w:ind/>
        <w:jc w:val="both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Транзитивность (a &lt;= b, b &lt;=c &lt;=&gt; a&lt;=c)</w:t>
      </w:r>
    </w:p>
    <w:p w14:paraId="12000000">
      <w:pPr>
        <w:pStyle w:val="Style_1"/>
        <w:ind/>
        <w:jc w:val="both"/>
        <w:rPr>
          <w:rFonts w:ascii="Times New Roman" w:hAnsi="Times New Roman"/>
          <w:b w:val="0"/>
        </w:rPr>
      </w:pPr>
    </w:p>
    <w:p w14:paraId="13000000">
      <w:pPr>
        <w:rPr>
          <w:rFonts w:ascii="Times New Roman" w:hAnsi="Times New Roman"/>
        </w:rPr>
      </w:pPr>
      <w:r>
        <w:rPr>
          <w:rFonts w:ascii="Times New Roman" w:hAnsi="Times New Roman"/>
          <w:b w:val="0"/>
        </w:rPr>
        <w:t>"</w:t>
      </w:r>
      <w:r>
        <w:rPr>
          <w:rFonts w:ascii="Times New Roman" w:hAnsi="Times New Roman"/>
        </w:rPr>
        <w:t>•</w:t>
      </w:r>
      <w:r>
        <w:rPr>
          <w:rFonts w:ascii="Times New Roman" w:hAnsi="Times New Roman"/>
        </w:rPr>
        <w:t>"</w:t>
      </w:r>
      <w:r>
        <w:rPr>
          <w:rFonts w:ascii="Times New Roman" w:hAnsi="Times New Roman"/>
          <w:b w:val="0"/>
        </w:rPr>
        <w:t xml:space="preserve"> – операция взятия </w:t>
      </w:r>
      <w:r>
        <w:rPr>
          <w:rFonts w:ascii="Times New Roman" w:hAnsi="Times New Roman"/>
          <w:b w:val="1"/>
          <w:i w:val="1"/>
        </w:rPr>
        <w:t>наименьшей</w:t>
      </w:r>
      <w:r>
        <w:rPr>
          <w:rFonts w:ascii="Times New Roman" w:hAnsi="Times New Roman"/>
          <w:b w:val="0"/>
        </w:rPr>
        <w:t xml:space="preserve"> верхней грани</w:t>
      </w:r>
      <w:r>
        <w:rPr>
          <w:rFonts w:ascii="Times New Roman" w:hAnsi="Times New Roman"/>
        </w:rPr>
        <w:t>, т.е. a*b</w:t>
      </w:r>
    </w:p>
    <w:p w14:paraId="14000000">
      <w:pPr>
        <w:pStyle w:val="Style_1"/>
        <w:spacing w:line="276" w:lineRule="auto"/>
        <w:ind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(Самый маленький элемент из L, который больше</w:t>
      </w:r>
      <w:r>
        <w:rPr>
          <w:rFonts w:ascii="Times New Roman" w:hAnsi="Times New Roman"/>
          <w:b w:val="1"/>
        </w:rPr>
        <w:t xml:space="preserve"> a</w:t>
      </w:r>
      <w:r>
        <w:rPr>
          <w:rFonts w:ascii="Times New Roman" w:hAnsi="Times New Roman"/>
          <w:b w:val="0"/>
        </w:rPr>
        <w:t xml:space="preserve"> и</w:t>
      </w:r>
      <w:r>
        <w:rPr>
          <w:rFonts w:ascii="Times New Roman" w:hAnsi="Times New Roman"/>
          <w:b w:val="1"/>
        </w:rPr>
        <w:t xml:space="preserve"> b</w:t>
      </w:r>
      <w:r>
        <w:rPr>
          <w:rFonts w:ascii="Times New Roman" w:hAnsi="Times New Roman"/>
        </w:rPr>
        <w:t xml:space="preserve">)  </w:t>
      </w:r>
    </w:p>
    <w:p w14:paraId="15000000">
      <w:pPr>
        <w:pStyle w:val="Style_1"/>
        <w:spacing w:line="240" w:lineRule="auto"/>
        <w:ind/>
        <w:jc w:val="both"/>
        <w:rPr>
          <w:rFonts w:ascii="Times New Roman" w:hAnsi="Times New Roman"/>
        </w:rPr>
      </w:pPr>
    </w:p>
    <w:p w14:paraId="16000000">
      <w:pPr>
        <w:pStyle w:val="Style_1"/>
        <w:ind/>
        <w:jc w:val="both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  <w:highlight w:val="white"/>
        </w:rPr>
        <w:t>"</w:t>
      </w: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  <w:highlight w:val="white"/>
        </w:rPr>
        <w:t>×</w:t>
      </w:r>
      <w:r>
        <w:rPr>
          <w:rFonts w:ascii="Times New Roman" w:hAnsi="Times New Roman"/>
          <w:b w:val="0"/>
        </w:rPr>
        <w:t xml:space="preserve">" – взятие </w:t>
      </w:r>
      <w:r>
        <w:rPr>
          <w:rFonts w:ascii="Times New Roman" w:hAnsi="Times New Roman"/>
          <w:b w:val="1"/>
          <w:i w:val="1"/>
        </w:rPr>
        <w:t>наибольшей</w:t>
      </w:r>
      <w:r>
        <w:rPr>
          <w:rFonts w:ascii="Times New Roman" w:hAnsi="Times New Roman"/>
          <w:b w:val="0"/>
        </w:rPr>
        <w:t xml:space="preserve"> нижней грани</w:t>
      </w:r>
    </w:p>
    <w:p w14:paraId="17000000">
      <w:pPr>
        <w:pStyle w:val="Style_1"/>
        <w:ind/>
        <w:jc w:val="both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(Самый большой элемент из L, который меньше </w:t>
      </w:r>
      <w:r>
        <w:rPr>
          <w:rFonts w:ascii="Times New Roman" w:hAnsi="Times New Roman"/>
          <w:b w:val="1"/>
        </w:rPr>
        <w:t>a</w:t>
      </w:r>
      <w:r>
        <w:rPr>
          <w:rFonts w:ascii="Times New Roman" w:hAnsi="Times New Roman"/>
          <w:b w:val="0"/>
        </w:rPr>
        <w:t xml:space="preserve"> и</w:t>
      </w:r>
      <w:r>
        <w:rPr>
          <w:rFonts w:ascii="Times New Roman" w:hAnsi="Times New Roman"/>
          <w:b w:val="1"/>
        </w:rPr>
        <w:t xml:space="preserve"> b</w:t>
      </w:r>
      <w:r>
        <w:rPr>
          <w:rFonts w:ascii="Times New Roman" w:hAnsi="Times New Roman"/>
          <w:b w:val="0"/>
        </w:rPr>
        <w:t>)</w:t>
      </w:r>
    </w:p>
    <w:p w14:paraId="18000000">
      <w:pPr>
        <w:pStyle w:val="Style_1"/>
        <w:ind/>
        <w:jc w:val="both"/>
        <w:rPr>
          <w:rFonts w:ascii="Times New Roman" w:hAnsi="Times New Roman"/>
          <w:b w:val="0"/>
        </w:rPr>
      </w:pPr>
    </w:p>
    <w:p w14:paraId="19000000">
      <w:pPr>
        <w:pStyle w:val="Style_1"/>
        <w:ind/>
        <w:jc w:val="center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>Состояния описываются:</w:t>
      </w:r>
    </w:p>
    <w:p w14:paraId="1A000000">
      <w:pPr>
        <w:pStyle w:val="Style_1"/>
        <w:spacing w:line="276" w:lineRule="auto"/>
        <w:ind/>
        <w:jc w:val="both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V = (F, M), где M – матрица доступа</w:t>
      </w:r>
    </w:p>
    <w:p w14:paraId="1B000000">
      <w:pPr>
        <w:pStyle w:val="Style_1"/>
        <w:ind/>
        <w:jc w:val="both"/>
        <w:rPr>
          <w:rFonts w:ascii="Times New Roman" w:hAnsi="Times New Roman"/>
          <w:b w:val="0"/>
        </w:rPr>
      </w:pP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4"/>
          <w:highlight w:val="white"/>
        </w:rPr>
        <w:t>Σ</w:t>
      </w:r>
      <w:r>
        <w:rPr>
          <w:rFonts w:ascii="Times New Roman" w:hAnsi="Times New Roman"/>
          <w:b w:val="0"/>
        </w:rPr>
        <w:t xml:space="preserve"> = (V</w:t>
      </w:r>
      <w:r>
        <w:rPr>
          <w:rFonts w:ascii="Times New Roman" w:hAnsi="Times New Roman"/>
          <w:b w:val="0"/>
          <w:sz w:val="20"/>
        </w:rPr>
        <w:t>0</w:t>
      </w:r>
      <w:r>
        <w:rPr>
          <w:rFonts w:ascii="Times New Roman" w:hAnsi="Times New Roman"/>
          <w:b w:val="0"/>
          <w:sz w:val="28"/>
        </w:rPr>
        <w:t>,</w:t>
      </w:r>
      <w:r>
        <w:rPr>
          <w:rFonts w:ascii="Times New Roman" w:hAnsi="Times New Roman"/>
          <w:b w:val="0"/>
          <w:sz w:val="20"/>
        </w:rPr>
        <w:t xml:space="preserve"> </w:t>
      </w:r>
      <w:r>
        <w:rPr>
          <w:rFonts w:ascii="Times New Roman" w:hAnsi="Times New Roman"/>
          <w:b w:val="0"/>
        </w:rPr>
        <w:t xml:space="preserve">R, T), где </w:t>
      </w:r>
      <w:r>
        <w:rPr>
          <w:rFonts w:ascii="Times New Roman" w:hAnsi="Times New Roman"/>
          <w:b w:val="0"/>
        </w:rPr>
        <w:t>V</w:t>
      </w:r>
      <w:r>
        <w:rPr>
          <w:rFonts w:ascii="Times New Roman" w:hAnsi="Times New Roman"/>
          <w:b w:val="0"/>
          <w:sz w:val="20"/>
        </w:rPr>
        <w:t>0</w:t>
      </w:r>
      <w:r>
        <w:rPr>
          <w:rFonts w:ascii="Times New Roman" w:hAnsi="Times New Roman"/>
          <w:b w:val="0"/>
        </w:rPr>
        <w:t xml:space="preserve"> – начальное состояние, R – множество запросов, T – функция переходов.</w:t>
      </w:r>
    </w:p>
    <w:p w14:paraId="1C000000">
      <w:pPr>
        <w:pStyle w:val="Style_1"/>
        <w:ind/>
        <w:jc w:val="both"/>
        <w:rPr>
          <w:rFonts w:ascii="Times New Roman" w:hAnsi="Times New Roman"/>
          <w:b w:val="0"/>
        </w:rPr>
      </w:pPr>
    </w:p>
    <w:p w14:paraId="1D000000">
      <w:pPr>
        <w:pStyle w:val="Style_1"/>
        <w:ind/>
        <w:jc w:val="both"/>
        <w:rPr>
          <w:rFonts w:ascii="Times New Roman" w:hAnsi="Times New Roman"/>
          <w:b w:val="0"/>
        </w:rPr>
      </w:pPr>
      <w:r>
        <w:rPr>
          <w:rFonts w:ascii="Times New Roman" w:hAnsi="Times New Roman"/>
          <w:b w:val="1"/>
        </w:rPr>
        <w:t>Запрос</w:t>
      </w:r>
      <w:r>
        <w:rPr>
          <w:rFonts w:ascii="Times New Roman" w:hAnsi="Times New Roman"/>
          <w:b w:val="0"/>
        </w:rPr>
        <w:t xml:space="preserve"> – это операция, изменяющая функцию F или матрицу M.</w:t>
      </w:r>
    </w:p>
    <w:p w14:paraId="1E000000">
      <w:pPr>
        <w:pStyle w:val="Style_1"/>
        <w:ind/>
        <w:jc w:val="both"/>
        <w:rPr>
          <w:rFonts w:ascii="Times New Roman" w:hAnsi="Times New Roman"/>
          <w:b w:val="0"/>
        </w:rPr>
      </w:pPr>
    </w:p>
    <w:p w14:paraId="1F000000">
      <w:pPr>
        <w:pStyle w:val="Style_1"/>
        <w:ind/>
        <w:jc w:val="both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T: V 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4"/>
          <w:highlight w:val="white"/>
        </w:rPr>
        <w:t>×</w:t>
      </w:r>
      <w:r>
        <w:rPr>
          <w:rFonts w:ascii="Times New Roman" w:hAnsi="Times New Roman"/>
          <w:b w:val="0"/>
        </w:rPr>
        <w:t xml:space="preserve"> R –&gt; V</w:t>
      </w:r>
    </w:p>
    <w:p w14:paraId="20000000">
      <w:pPr>
        <w:pStyle w:val="Style_1"/>
        <w:ind/>
        <w:jc w:val="both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(В ходе выполнения запроса система переводится из одного состояния в другое).</w:t>
      </w:r>
    </w:p>
    <w:p w14:paraId="21000000">
      <w:pPr>
        <w:pStyle w:val="Style_1"/>
        <w:ind/>
        <w:jc w:val="both"/>
        <w:rPr>
          <w:rFonts w:ascii="Times New Roman" w:hAnsi="Times New Roman"/>
          <w:b w:val="0"/>
        </w:rPr>
      </w:pPr>
    </w:p>
    <w:p w14:paraId="22000000">
      <w:pPr>
        <w:pStyle w:val="Style_1"/>
        <w:ind/>
        <w:jc w:val="center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>Состояния:</w:t>
      </w:r>
    </w:p>
    <w:p w14:paraId="23000000">
      <w:pPr>
        <w:pStyle w:val="Style_1"/>
        <w:numPr>
          <w:numId w:val="4"/>
        </w:numPr>
        <w:ind/>
        <w:jc w:val="both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Безопасные</w:t>
      </w:r>
    </w:p>
    <w:p w14:paraId="24000000">
      <w:pPr>
        <w:pStyle w:val="Style_1"/>
        <w:numPr>
          <w:numId w:val="4"/>
        </w:numPr>
        <w:spacing w:line="360" w:lineRule="auto"/>
        <w:ind/>
        <w:jc w:val="both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Небезопасные</w:t>
      </w:r>
    </w:p>
    <w:p w14:paraId="25000000">
      <w:pPr>
        <w:pStyle w:val="Style_1"/>
        <w:spacing w:line="240" w:lineRule="auto"/>
        <w:ind/>
        <w:jc w:val="both"/>
        <w:rPr>
          <w:rFonts w:ascii="Times New Roman" w:hAnsi="Times New Roman"/>
          <w:b w:val="0"/>
        </w:rPr>
      </w:pPr>
      <w:r>
        <w:rPr>
          <w:rFonts w:ascii="Times New Roman" w:hAnsi="Times New Roman"/>
          <w:b w:val="1"/>
        </w:rPr>
        <w:t>Безопасное состояни</w:t>
      </w:r>
      <w:r>
        <w:rPr>
          <w:rFonts w:ascii="Times New Roman" w:hAnsi="Times New Roman"/>
          <w:b w:val="1"/>
        </w:rPr>
        <w:t>е</w:t>
      </w:r>
      <w:r>
        <w:rPr>
          <w:rFonts w:ascii="Times New Roman" w:hAnsi="Times New Roman"/>
          <w:b w:val="0"/>
        </w:rPr>
        <w:t xml:space="preserve"> – это отношение доступа, не противоречащее установленной модели правил r.</w:t>
      </w:r>
    </w:p>
    <w:p w14:paraId="26000000">
      <w:pPr>
        <w:pStyle w:val="Style_1"/>
        <w:spacing w:line="240" w:lineRule="auto"/>
        <w:ind/>
        <w:jc w:val="both"/>
        <w:rPr>
          <w:rFonts w:ascii="Times New Roman" w:hAnsi="Times New Roman"/>
          <w:b w:val="0"/>
        </w:rPr>
      </w:pPr>
    </w:p>
    <w:p w14:paraId="27000000">
      <w:pPr>
        <w:pStyle w:val="Style_1"/>
        <w:spacing w:line="240" w:lineRule="auto"/>
        <w:ind/>
        <w:jc w:val="both"/>
        <w:rPr>
          <w:rFonts w:ascii="Times New Roman" w:hAnsi="Times New Roman"/>
          <w:b w:val="0"/>
        </w:rPr>
      </w:pPr>
      <w:r>
        <w:rPr>
          <w:rFonts w:ascii="Times New Roman" w:hAnsi="Times New Roman"/>
          <w:b w:val="1"/>
        </w:rPr>
        <w:t>Небезопасное состояние</w:t>
      </w:r>
      <w:r>
        <w:rPr>
          <w:rFonts w:ascii="Times New Roman" w:hAnsi="Times New Roman"/>
          <w:b w:val="0"/>
        </w:rPr>
        <w:t xml:space="preserve"> – это отношение доступа, в котором правила нарушаются и происходит утечка данных.</w:t>
      </w:r>
    </w:p>
    <w:p w14:paraId="28000000">
      <w:pPr>
        <w:pStyle w:val="Style_1"/>
        <w:spacing w:line="240" w:lineRule="auto"/>
        <w:ind/>
        <w:jc w:val="both"/>
        <w:rPr>
          <w:rFonts w:ascii="Times New Roman" w:hAnsi="Times New Roman"/>
          <w:b w:val="0"/>
        </w:rPr>
      </w:pPr>
    </w:p>
    <w:p w14:paraId="29000000">
      <w:pPr>
        <w:pStyle w:val="Style_1"/>
        <w:numPr>
          <w:numId w:val="5"/>
        </w:numPr>
        <w:spacing w:line="240" w:lineRule="auto"/>
        <w:ind/>
        <w:jc w:val="both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Состояние (F,M) </w:t>
      </w:r>
      <w:r>
        <w:rPr>
          <w:rFonts w:ascii="Times New Roman" w:hAnsi="Times New Roman"/>
          <w:b w:val="0"/>
          <w:i w:val="0"/>
        </w:rPr>
        <w:t>безопасно</w:t>
      </w:r>
      <w:r>
        <w:rPr>
          <w:rFonts w:ascii="Times New Roman" w:hAnsi="Times New Roman"/>
          <w:b w:val="0"/>
        </w:rPr>
        <w:t xml:space="preserve"> </w:t>
      </w:r>
      <w:r>
        <w:rPr>
          <w:rFonts w:ascii="Times New Roman" w:hAnsi="Times New Roman"/>
          <w:b w:val="1"/>
          <w:i w:val="1"/>
        </w:rPr>
        <w:t>по чтению</w:t>
      </w:r>
      <w:r>
        <w:rPr>
          <w:rFonts w:ascii="Times New Roman" w:hAnsi="Times New Roman"/>
          <w:b w:val="0"/>
        </w:rPr>
        <w:t>, если для каждого S, выполняющего доступ к O – уровень безопасности</w:t>
      </w:r>
      <w:r>
        <w:rPr>
          <w:rFonts w:ascii="Times New Roman" w:hAnsi="Times New Roman"/>
          <w:b w:val="1"/>
        </w:rPr>
        <w:t xml:space="preserve"> s</w:t>
      </w:r>
      <w:r>
        <w:rPr>
          <w:rFonts w:ascii="Times New Roman" w:hAnsi="Times New Roman"/>
          <w:b w:val="0"/>
        </w:rPr>
        <w:t xml:space="preserve"> доминирует над</w:t>
      </w:r>
      <w:r>
        <w:rPr>
          <w:rFonts w:ascii="Times New Roman" w:hAnsi="Times New Roman"/>
          <w:b w:val="1"/>
        </w:rPr>
        <w:t xml:space="preserve"> o</w:t>
      </w:r>
      <w:r>
        <w:rPr>
          <w:rFonts w:ascii="Times New Roman" w:hAnsi="Times New Roman"/>
          <w:b w:val="0"/>
        </w:rPr>
        <w:t>.</w:t>
      </w:r>
    </w:p>
    <w:p w14:paraId="2A000000">
      <w:pPr>
        <w:pStyle w:val="Style_1"/>
        <w:spacing w:line="240" w:lineRule="auto"/>
        <w:ind/>
        <w:jc w:val="center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drawing>
          <wp:inline>
            <wp:extent cx="3458021" cy="390577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3458021" cy="39057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B000000">
      <w:pPr>
        <w:numPr>
          <w:numId w:val="5"/>
        </w:numPr>
        <w:rPr>
          <w:rFonts w:ascii="Times New Roman" w:hAnsi="Times New Roman"/>
        </w:rPr>
      </w:pPr>
      <w:r>
        <w:rPr>
          <w:rFonts w:ascii="Times New Roman" w:hAnsi="Times New Roman"/>
          <w:b w:val="0"/>
        </w:rPr>
        <w:t xml:space="preserve">Состояние (F, M) </w:t>
      </w:r>
      <w:r>
        <w:rPr>
          <w:rFonts w:ascii="Times New Roman" w:hAnsi="Times New Roman"/>
          <w:b w:val="0"/>
          <w:i w:val="0"/>
        </w:rPr>
        <w:t>безопасно</w:t>
      </w:r>
      <w:r>
        <w:rPr>
          <w:rFonts w:ascii="Times New Roman" w:hAnsi="Times New Roman"/>
          <w:b w:val="0"/>
        </w:rPr>
        <w:t xml:space="preserve"> </w:t>
      </w:r>
      <w:r>
        <w:rPr>
          <w:rFonts w:ascii="Times New Roman" w:hAnsi="Times New Roman"/>
          <w:b w:val="1"/>
          <w:i w:val="1"/>
        </w:rPr>
        <w:t xml:space="preserve">по </w:t>
      </w:r>
      <w:r>
        <w:rPr>
          <w:rFonts w:ascii="Times New Roman" w:hAnsi="Times New Roman"/>
          <w:b w:val="1"/>
          <w:i w:val="1"/>
        </w:rPr>
        <w:t>записи</w:t>
      </w:r>
      <w:r>
        <w:rPr>
          <w:rFonts w:ascii="Times New Roman" w:hAnsi="Times New Roman"/>
          <w:b w:val="0"/>
        </w:rPr>
        <w:t>, если для каждого S, выполняющего доступ к O – уровень безопасности</w:t>
      </w:r>
      <w:r>
        <w:rPr>
          <w:rFonts w:ascii="Times New Roman" w:hAnsi="Times New Roman"/>
          <w:b w:val="1"/>
        </w:rPr>
        <w:t xml:space="preserve"> o</w:t>
      </w:r>
      <w:r>
        <w:rPr>
          <w:rFonts w:ascii="Times New Roman" w:hAnsi="Times New Roman"/>
          <w:b w:val="0"/>
        </w:rPr>
        <w:t xml:space="preserve"> доминирует над</w:t>
      </w:r>
      <w:r>
        <w:rPr>
          <w:rFonts w:ascii="Times New Roman" w:hAnsi="Times New Roman"/>
          <w:b w:val="1"/>
        </w:rPr>
        <w:t xml:space="preserve"> s</w:t>
      </w:r>
      <w:r>
        <w:rPr>
          <w:rFonts w:ascii="Times New Roman" w:hAnsi="Times New Roman"/>
          <w:b w:val="0"/>
        </w:rPr>
        <w:t>.</w:t>
      </w:r>
    </w:p>
    <w:p w14:paraId="2C000000">
      <w:pPr>
        <w:ind w:firstLine="0"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>
            <wp:extent cx="3648527" cy="295311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3648527" cy="29531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D000000">
      <w:pPr>
        <w:pStyle w:val="Style_1"/>
        <w:spacing w:line="240" w:lineRule="auto"/>
        <w:ind/>
        <w:jc w:val="both"/>
        <w:rPr>
          <w:rFonts w:ascii="Times New Roman" w:hAnsi="Times New Roman"/>
          <w:b w:val="0"/>
        </w:rPr>
      </w:pPr>
    </w:p>
    <w:p w14:paraId="2E000000">
      <w:pPr>
        <w:pStyle w:val="Style_1"/>
        <w:ind/>
        <w:jc w:val="both"/>
        <w:rPr>
          <w:rFonts w:ascii="Times New Roman" w:hAnsi="Times New Roman"/>
          <w:b w:val="0"/>
        </w:rPr>
      </w:pPr>
      <w:r>
        <w:rPr>
          <w:rFonts w:ascii="Times New Roman" w:hAnsi="Times New Roman"/>
          <w:b w:val="1"/>
        </w:rPr>
        <w:t>Состояние безопасно</w:t>
      </w:r>
      <w:r>
        <w:rPr>
          <w:rFonts w:ascii="Times New Roman" w:hAnsi="Times New Roman"/>
          <w:b w:val="0"/>
        </w:rPr>
        <w:t xml:space="preserve"> &lt;=&gt; оно безопасно и по чтению, и по записи.</w:t>
      </w:r>
    </w:p>
    <w:p w14:paraId="2F000000">
      <w:pPr>
        <w:pStyle w:val="Style_1"/>
        <w:spacing w:line="240" w:lineRule="auto"/>
        <w:ind/>
        <w:jc w:val="both"/>
        <w:rPr>
          <w:rFonts w:ascii="Times New Roman" w:hAnsi="Times New Roman"/>
          <w:b w:val="0"/>
        </w:rPr>
      </w:pPr>
    </w:p>
    <w:p w14:paraId="30000000">
      <w:pPr>
        <w:pStyle w:val="Style_1"/>
        <w:spacing w:line="276" w:lineRule="auto"/>
        <w:ind/>
        <w:jc w:val="center"/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>Основная теорема безопасности Белла-</w:t>
      </w:r>
      <w:r>
        <w:rPr>
          <w:rFonts w:ascii="Times New Roman" w:hAnsi="Times New Roman"/>
          <w:b w:val="1"/>
          <w:sz w:val="32"/>
        </w:rPr>
        <w:t>ЛаПадулы</w:t>
      </w:r>
    </w:p>
    <w:p w14:paraId="31000000">
      <w:pPr>
        <w:pStyle w:val="Style_1"/>
        <w:ind/>
        <w:jc w:val="both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 xml:space="preserve">Система безопасна &lt;=&gt; </w:t>
      </w:r>
      <w:r>
        <w:rPr>
          <w:rFonts w:ascii="Times New Roman" w:hAnsi="Times New Roman"/>
        </w:rPr>
        <w:t>∑ = (V</w:t>
      </w:r>
      <w:r>
        <w:rPr>
          <w:rFonts w:ascii="Times New Roman" w:hAnsi="Times New Roman"/>
          <w:sz w:val="18"/>
        </w:rPr>
        <w:t>0</w:t>
      </w:r>
      <w:r>
        <w:rPr>
          <w:rFonts w:ascii="Times New Roman" w:hAnsi="Times New Roman"/>
          <w:sz w:val="28"/>
        </w:rPr>
        <w:t>, R, T</w:t>
      </w:r>
      <w:r>
        <w:rPr>
          <w:rFonts w:ascii="Times New Roman" w:hAnsi="Times New Roman"/>
          <w:sz w:val="28"/>
        </w:rPr>
        <w:t>)</w:t>
      </w:r>
      <w:r>
        <w:rPr>
          <w:rFonts w:ascii="Times New Roman" w:hAnsi="Times New Roman"/>
        </w:rPr>
        <w:t xml:space="preserve">, где </w:t>
      </w:r>
      <w:r>
        <w:rPr>
          <w:rFonts w:ascii="Times New Roman" w:hAnsi="Times New Roman"/>
        </w:rPr>
        <w:t>V</w:t>
      </w:r>
      <w:r>
        <w:rPr>
          <w:rFonts w:ascii="Times New Roman" w:hAnsi="Times New Roman"/>
          <w:sz w:val="18"/>
        </w:rPr>
        <w:t>0</w:t>
      </w:r>
      <w:r>
        <w:rPr>
          <w:rFonts w:ascii="Times New Roman" w:hAnsi="Times New Roman"/>
          <w:sz w:val="28"/>
        </w:rPr>
        <w:t xml:space="preserve"> –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imes New Roman" w:hAnsi="Times New Roman"/>
          <w:sz w:val="28"/>
        </w:rPr>
        <w:t>начальное состояние</w:t>
      </w:r>
    </w:p>
    <w:p w14:paraId="32000000">
      <w:pPr>
        <w:pStyle w:val="Style_1"/>
        <w:ind/>
        <w:jc w:val="both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sz w:val="28"/>
        </w:rPr>
        <w:t>(оно безопасное и все состояния, достижимые из него путем применения конечной последовательности из R – тоже безопасны).</w:t>
      </w:r>
    </w:p>
    <w:p w14:paraId="33000000">
      <w:pPr>
        <w:pStyle w:val="Style_1"/>
        <w:ind/>
        <w:jc w:val="both"/>
        <w:rPr>
          <w:rFonts w:ascii="Times New Roman" w:hAnsi="Times New Roman"/>
          <w:b w:val="0"/>
          <w:sz w:val="28"/>
        </w:rPr>
      </w:pPr>
    </w:p>
    <w:p w14:paraId="34000000">
      <w:pPr>
        <w:pStyle w:val="Style_1"/>
        <w:ind/>
        <w:jc w:val="both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 xml:space="preserve">Система безопасна &lt;=&gt; состояние </w:t>
      </w:r>
      <w:r>
        <w:rPr>
          <w:rFonts w:ascii="Times New Roman" w:hAnsi="Times New Roman"/>
        </w:rPr>
        <w:t>V</w:t>
      </w:r>
      <w:r>
        <w:rPr>
          <w:rFonts w:ascii="Times New Roman" w:hAnsi="Times New Roman"/>
          <w:sz w:val="18"/>
        </w:rPr>
        <w:t>0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b w:val="0"/>
          <w:sz w:val="28"/>
        </w:rPr>
        <w:t xml:space="preserve">безопасно для любого V, достижимого из </w:t>
      </w:r>
      <w:r>
        <w:rPr>
          <w:rFonts w:ascii="Times New Roman" w:hAnsi="Times New Roman"/>
        </w:rPr>
        <w:t>V</w:t>
      </w:r>
      <w:r>
        <w:rPr>
          <w:rFonts w:ascii="Times New Roman" w:hAnsi="Times New Roman"/>
          <w:sz w:val="18"/>
        </w:rPr>
        <w:t xml:space="preserve">0 </w:t>
      </w:r>
      <w:r>
        <w:rPr>
          <w:rFonts w:ascii="Times New Roman" w:hAnsi="Times New Roman"/>
          <w:b w:val="0"/>
          <w:sz w:val="28"/>
        </w:rPr>
        <w:t>путём применения конечной последовательности для каждого запроса выполнены 4 условия:</w:t>
      </w:r>
    </w:p>
    <w:p w14:paraId="35000000">
      <w:pPr>
        <w:pStyle w:val="Style_1"/>
        <w:ind/>
        <w:jc w:val="both"/>
        <w:rPr>
          <w:rFonts w:ascii="Times New Roman" w:hAnsi="Times New Roman"/>
          <w:b w:val="0"/>
          <w:sz w:val="28"/>
        </w:rPr>
      </w:pPr>
    </w:p>
    <w:p w14:paraId="36000000">
      <w:pPr>
        <w:pStyle w:val="Style_1"/>
        <w:ind/>
        <w:jc w:val="center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</w:rPr>
        <w:drawing>
          <wp:inline>
            <wp:extent cx="4464050" cy="2966857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4464050" cy="296685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7000000">
      <w:pPr>
        <w:pStyle w:val="Style_1"/>
        <w:ind/>
        <w:jc w:val="center"/>
        <w:rPr>
          <w:rFonts w:ascii="Times New Roman" w:hAnsi="Times New Roman"/>
          <w:b w:val="0"/>
          <w:sz w:val="28"/>
        </w:rPr>
      </w:pPr>
    </w:p>
    <w:p w14:paraId="38000000">
      <w:pPr>
        <w:pStyle w:val="Style_1"/>
        <w:ind/>
        <w:jc w:val="both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(Теорема утверждает, что система с безопасным начальным состоянием безопасна &lt;=&gt; при любом переходе системы из одного состояния в другое не возникает никаких новых и не сохраняются никакие старые отношения, не являющиеся безопасными по отношению к УБ нового состояния).</w:t>
      </w:r>
    </w:p>
    <w:p w14:paraId="39000000">
      <w:pPr>
        <w:pStyle w:val="Style_1"/>
        <w:ind/>
        <w:jc w:val="both"/>
        <w:rPr>
          <w:rFonts w:ascii="Times New Roman" w:hAnsi="Times New Roman"/>
          <w:b w:val="0"/>
          <w:sz w:val="28"/>
        </w:rPr>
      </w:pPr>
    </w:p>
    <w:p w14:paraId="3A000000">
      <w:pPr>
        <w:pStyle w:val="Style_1"/>
        <w:ind/>
        <w:jc w:val="center"/>
        <w:rPr>
          <w:rFonts w:ascii="Times New Roman" w:hAnsi="Times New Roman"/>
          <w:b w:val="1"/>
          <w:sz w:val="32"/>
          <w:shd w:fill="FFD821" w:val="clear"/>
        </w:rPr>
      </w:pPr>
      <w:r>
        <w:rPr>
          <w:rFonts w:ascii="Times New Roman" w:hAnsi="Times New Roman"/>
          <w:b w:val="1"/>
          <w:sz w:val="32"/>
          <w:shd w:fill="FFD821" w:val="clear"/>
        </w:rPr>
        <w:t xml:space="preserve">Модель Chinese Wall </w:t>
      </w:r>
    </w:p>
    <w:p w14:paraId="3B000000">
      <w:pPr>
        <w:pStyle w:val="Style_1"/>
        <w:spacing w:line="360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Политика безопасности Китайская стена</w:t>
      </w:r>
    </w:p>
    <w:p w14:paraId="3C000000">
      <w:pPr>
        <w:pStyle w:val="Style_1"/>
        <w:spacing w:line="240" w:lineRule="auto"/>
        <w:ind/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</w:rPr>
        <w:t>Китайская стена</w:t>
      </w:r>
      <w:r>
        <w:rPr>
          <w:rFonts w:ascii="Times New Roman" w:hAnsi="Times New Roman"/>
        </w:rPr>
        <w:t xml:space="preserve"> – это концепция в ИБ, предназначенная для предотвращения конфликта интересов и утечки конфиденциальной информации между различными подразделениями в организации.</w:t>
      </w:r>
    </w:p>
    <w:p w14:paraId="3D000000">
      <w:pPr>
        <w:pStyle w:val="Style_1"/>
        <w:spacing w:line="240" w:lineRule="auto"/>
        <w:ind/>
        <w:jc w:val="both"/>
        <w:rPr>
          <w:rFonts w:ascii="Times New Roman" w:hAnsi="Times New Roman"/>
          <w:b w:val="1"/>
          <w:sz w:val="28"/>
        </w:rPr>
      </w:pPr>
    </w:p>
    <w:p w14:paraId="3E000000">
      <w:pPr>
        <w:pStyle w:val="Style_1"/>
        <w:spacing w:line="240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Основные аспекты:</w:t>
      </w:r>
    </w:p>
    <w:p w14:paraId="3F000000">
      <w:pPr>
        <w:pStyle w:val="Style_1"/>
        <w:numPr>
          <w:numId w:val="6"/>
        </w:numPr>
        <w:spacing w:line="240" w:lineRule="auto"/>
        <w:ind/>
        <w:jc w:val="both"/>
        <w:rPr>
          <w:rFonts w:ascii="Times New Roman" w:hAnsi="Times New Roman"/>
        </w:rPr>
      </w:pPr>
      <w:r>
        <w:rPr>
          <w:rFonts w:ascii="Times New Roman" w:hAnsi="Times New Roman"/>
          <w:b w:val="1"/>
          <w:sz w:val="28"/>
        </w:rPr>
        <w:t xml:space="preserve">Разделение информации – </w:t>
      </w:r>
      <w:r>
        <w:rPr>
          <w:rFonts w:ascii="Times New Roman" w:hAnsi="Times New Roman"/>
        </w:rPr>
        <w:t>ограничение доступа к определенной информации для сотрудников, чтобы избежать ситуаций, когда они могут использовать эти данные в своих интересах или интересах конкурентов;</w:t>
      </w:r>
    </w:p>
    <w:p w14:paraId="40000000">
      <w:pPr>
        <w:pStyle w:val="Style_1"/>
        <w:numPr>
          <w:numId w:val="6"/>
        </w:numPr>
        <w:spacing w:line="240" w:lineRule="auto"/>
        <w:ind/>
        <w:jc w:val="both"/>
        <w:rPr>
          <w:rFonts w:ascii="Times New Roman" w:hAnsi="Times New Roman"/>
        </w:rPr>
      </w:pPr>
      <w:r>
        <w:rPr>
          <w:rFonts w:ascii="Times New Roman" w:hAnsi="Times New Roman"/>
          <w:b w:val="1"/>
          <w:sz w:val="28"/>
        </w:rPr>
        <w:t xml:space="preserve">Контроль доступа – </w:t>
      </w:r>
      <w:r>
        <w:rPr>
          <w:rFonts w:ascii="Times New Roman" w:hAnsi="Times New Roman"/>
          <w:b w:val="0"/>
          <w:sz w:val="28"/>
        </w:rPr>
        <w:t>т</w:t>
      </w:r>
      <w:r>
        <w:rPr>
          <w:rFonts w:ascii="Times New Roman" w:hAnsi="Times New Roman"/>
        </w:rPr>
        <w:t>олько уполномоченные лица могут получать доступ к чувствительной информации;</w:t>
      </w:r>
    </w:p>
    <w:p w14:paraId="41000000">
      <w:pPr>
        <w:pStyle w:val="Style_1"/>
        <w:numPr>
          <w:numId w:val="6"/>
        </w:numPr>
        <w:spacing w:line="240" w:lineRule="auto"/>
        <w:ind/>
        <w:jc w:val="both"/>
        <w:rPr>
          <w:rFonts w:ascii="Times New Roman" w:hAnsi="Times New Roman"/>
        </w:rPr>
      </w:pPr>
      <w:r>
        <w:rPr>
          <w:rFonts w:ascii="Times New Roman" w:hAnsi="Times New Roman"/>
          <w:b w:val="1"/>
          <w:sz w:val="28"/>
        </w:rPr>
        <w:t>Динамические ограничения –</w:t>
      </w:r>
      <w:r>
        <w:rPr>
          <w:rFonts w:ascii="Times New Roman" w:hAnsi="Times New Roman"/>
          <w:b w:val="0"/>
          <w:sz w:val="28"/>
        </w:rPr>
        <w:t xml:space="preserve"> </w:t>
      </w:r>
      <w:r>
        <w:rPr>
          <w:rFonts w:ascii="Times New Roman" w:hAnsi="Times New Roman"/>
        </w:rPr>
        <w:t>если работник получает доступ к информации из одной группы, ему может быть запрещен доступ к информации другой группы, чтобы избежать конфликт интересов;</w:t>
      </w:r>
    </w:p>
    <w:p w14:paraId="42000000">
      <w:pPr>
        <w:pStyle w:val="Style_1"/>
        <w:numPr>
          <w:numId w:val="6"/>
        </w:numPr>
        <w:spacing w:line="240" w:lineRule="auto"/>
        <w:ind/>
        <w:jc w:val="both"/>
        <w:rPr>
          <w:rFonts w:ascii="Times New Roman" w:hAnsi="Times New Roman"/>
        </w:rPr>
      </w:pPr>
      <w:r>
        <w:rPr>
          <w:rFonts w:ascii="Times New Roman" w:hAnsi="Times New Roman"/>
          <w:b w:val="1"/>
          <w:sz w:val="28"/>
        </w:rPr>
        <w:t xml:space="preserve">Обучение и осведомленность – </w:t>
      </w:r>
      <w:r>
        <w:rPr>
          <w:rFonts w:ascii="Times New Roman" w:hAnsi="Times New Roman"/>
          <w:b w:val="0"/>
          <w:sz w:val="28"/>
        </w:rPr>
        <w:t>c</w:t>
      </w:r>
      <w:r>
        <w:rPr>
          <w:rFonts w:ascii="Times New Roman" w:hAnsi="Times New Roman"/>
        </w:rPr>
        <w:t>отрудники должны быть обучены принципам и важности этой политики, чтобы осознавать риски, связанные с доступом к чувствительной информации.</w:t>
      </w:r>
    </w:p>
    <w:p w14:paraId="43000000">
      <w:pPr>
        <w:pStyle w:val="Style_1"/>
        <w:spacing w:line="240" w:lineRule="auto"/>
        <w:ind/>
        <w:jc w:val="both"/>
        <w:rPr>
          <w:rFonts w:ascii="Times New Roman" w:hAnsi="Times New Roman"/>
          <w:b w:val="1"/>
          <w:sz w:val="28"/>
        </w:rPr>
      </w:pPr>
    </w:p>
    <w:p w14:paraId="44000000">
      <w:pPr>
        <w:pStyle w:val="Style_1"/>
        <w:spacing w:line="240" w:lineRule="auto"/>
        <w:ind/>
        <w:jc w:val="both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 xml:space="preserve">Политика часто используется в инвестиционных банках и юридических фирмах, так как </w:t>
      </w:r>
      <w:r>
        <w:rPr>
          <w:rFonts w:ascii="Times New Roman" w:hAnsi="Times New Roman"/>
        </w:rPr>
        <w:t>помогает сохранять доверие клиентов и обеспечивает соблюдение норм и стандартов в области конфиденциальности.</w:t>
      </w:r>
    </w:p>
    <w:p w14:paraId="45000000">
      <w:pPr>
        <w:pStyle w:val="Style_1"/>
        <w:rPr>
          <w:rFonts w:ascii="Times New Roman" w:hAnsi="Times New Roman"/>
        </w:rPr>
      </w:pPr>
    </w:p>
    <w:p w14:paraId="46000000">
      <w:pPr>
        <w:pStyle w:val="Style_1"/>
        <w:ind/>
        <w:jc w:val="center"/>
        <w:rPr>
          <w:rFonts w:ascii="Times New Roman" w:hAnsi="Times New Roman"/>
        </w:rPr>
      </w:pPr>
    </w:p>
    <w:p w14:paraId="47000000">
      <w:pPr>
        <w:pStyle w:val="Style_1"/>
        <w:ind/>
        <w:jc w:val="center"/>
        <w:rPr>
          <w:rFonts w:ascii="Times New Roman" w:hAnsi="Times New Roman"/>
        </w:rPr>
      </w:pPr>
    </w:p>
    <w:p w14:paraId="48000000">
      <w:pPr>
        <w:pStyle w:val="Style_1"/>
        <w:ind/>
        <w:jc w:val="center"/>
        <w:rPr>
          <w:rFonts w:ascii="Times New Roman" w:hAnsi="Times New Roman"/>
        </w:rPr>
      </w:pPr>
    </w:p>
    <w:p w14:paraId="49000000">
      <w:pPr>
        <w:pStyle w:val="Style_1"/>
        <w:ind/>
        <w:jc w:val="center"/>
        <w:rPr>
          <w:rFonts w:ascii="Times New Roman" w:hAnsi="Times New Roman"/>
        </w:rPr>
      </w:pPr>
    </w:p>
    <w:p w14:paraId="4A000000">
      <w:pPr>
        <w:pStyle w:val="Style_1"/>
        <w:rPr>
          <w:rFonts w:ascii="Times New Roman" w:hAnsi="Times New Roman"/>
        </w:rPr>
      </w:pPr>
    </w:p>
    <w:p w14:paraId="4B000000">
      <w:pPr>
        <w:pStyle w:val="Style_1"/>
        <w:rPr>
          <w:rFonts w:ascii="Times New Roman" w:hAnsi="Times New Roman"/>
          <w:sz w:val="22"/>
        </w:rPr>
      </w:pPr>
    </w:p>
    <w:p w14:paraId="4C000000">
      <w:pPr>
        <w:pStyle w:val="Style_1"/>
        <w:rPr>
          <w:rFonts w:ascii="Times New Roman" w:hAnsi="Times New Roman"/>
          <w:sz w:val="22"/>
        </w:rPr>
      </w:pPr>
    </w:p>
    <w:p w14:paraId="4D000000">
      <w:pPr>
        <w:pStyle w:val="Style_1"/>
        <w:rPr>
          <w:rFonts w:ascii="Times New Roman" w:hAnsi="Times New Roman"/>
          <w:sz w:val="22"/>
        </w:rPr>
      </w:pPr>
    </w:p>
    <w:p w14:paraId="4E000000">
      <w:pPr>
        <w:pStyle w:val="Style_1"/>
        <w:rPr>
          <w:rFonts w:ascii="Times New Roman" w:hAnsi="Times New Roman"/>
          <w:sz w:val="22"/>
        </w:rPr>
      </w:pPr>
    </w:p>
    <w:p w14:paraId="4F000000">
      <w:pPr>
        <w:pStyle w:val="Style_1"/>
        <w:rPr>
          <w:rFonts w:ascii="Times New Roman" w:hAnsi="Times New Roman"/>
          <w:sz w:val="22"/>
        </w:rPr>
      </w:pPr>
    </w:p>
    <w:p w14:paraId="50000000">
      <w:pPr>
        <w:pStyle w:val="Style_1"/>
        <w:rPr>
          <w:rFonts w:ascii="Times New Roman" w:hAnsi="Times New Roman"/>
          <w:sz w:val="22"/>
        </w:rPr>
      </w:pPr>
    </w:p>
    <w:p w14:paraId="51000000">
      <w:pPr>
        <w:pStyle w:val="Style_1"/>
        <w:rPr>
          <w:rFonts w:ascii="Times New Roman" w:hAnsi="Times New Roman"/>
          <w:sz w:val="22"/>
        </w:rPr>
      </w:pPr>
    </w:p>
    <w:p w14:paraId="52000000">
      <w:pPr>
        <w:pStyle w:val="Style_1"/>
        <w:rPr>
          <w:rFonts w:ascii="Times New Roman" w:hAnsi="Times New Roman"/>
          <w:sz w:val="22"/>
        </w:rPr>
      </w:pPr>
    </w:p>
    <w:p w14:paraId="53000000">
      <w:pPr>
        <w:pStyle w:val="Style_1"/>
        <w:rPr>
          <w:rFonts w:ascii="Times New Roman" w:hAnsi="Times New Roman"/>
          <w:sz w:val="22"/>
        </w:rPr>
      </w:pPr>
    </w:p>
    <w:p w14:paraId="54000000">
      <w:pPr>
        <w:pStyle w:val="Style_1"/>
        <w:rPr>
          <w:rFonts w:ascii="Times New Roman" w:hAnsi="Times New Roman"/>
          <w:sz w:val="22"/>
        </w:rPr>
      </w:pPr>
    </w:p>
    <w:p w14:paraId="55000000">
      <w:pPr>
        <w:pStyle w:val="Style_1"/>
        <w:rPr>
          <w:rFonts w:ascii="Times New Roman" w:hAnsi="Times New Roman"/>
          <w:sz w:val="22"/>
        </w:rPr>
      </w:pPr>
    </w:p>
    <w:p w14:paraId="56000000">
      <w:pPr>
        <w:pStyle w:val="Style_1"/>
        <w:rPr>
          <w:rFonts w:ascii="Times New Roman" w:hAnsi="Times New Roman"/>
          <w:sz w:val="22"/>
        </w:rPr>
      </w:pPr>
    </w:p>
    <w:p w14:paraId="57000000">
      <w:pPr>
        <w:pStyle w:val="Style_1"/>
        <w:rPr>
          <w:rFonts w:ascii="Times New Roman" w:hAnsi="Times New Roman"/>
          <w:sz w:val="22"/>
        </w:rPr>
      </w:pPr>
    </w:p>
    <w:p w14:paraId="58000000">
      <w:pPr>
        <w:pStyle w:val="Style_1"/>
        <w:rPr>
          <w:rFonts w:ascii="Times New Roman" w:hAnsi="Times New Roman"/>
          <w:sz w:val="22"/>
        </w:rPr>
      </w:pPr>
    </w:p>
    <w:p w14:paraId="59000000">
      <w:pPr>
        <w:pStyle w:val="Style_1"/>
        <w:rPr>
          <w:rFonts w:ascii="Times New Roman" w:hAnsi="Times New Roman"/>
          <w:sz w:val="22"/>
        </w:rPr>
      </w:pPr>
    </w:p>
    <w:p w14:paraId="5A000000">
      <w:pPr>
        <w:pStyle w:val="Style_1"/>
        <w:rPr>
          <w:rFonts w:ascii="Times New Roman" w:hAnsi="Times New Roman"/>
          <w:sz w:val="22"/>
        </w:rPr>
      </w:pPr>
    </w:p>
    <w:p w14:paraId="5B000000">
      <w:pPr>
        <w:pStyle w:val="Style_1"/>
        <w:rPr>
          <w:rFonts w:ascii="Times New Roman" w:hAnsi="Times New Roman"/>
          <w:sz w:val="22"/>
        </w:rPr>
      </w:pPr>
    </w:p>
    <w:p w14:paraId="5C000000">
      <w:pPr>
        <w:pStyle w:val="Style_1"/>
        <w:rPr>
          <w:rFonts w:ascii="Times New Roman" w:hAnsi="Times New Roman"/>
          <w:sz w:val="22"/>
        </w:rPr>
      </w:pPr>
    </w:p>
    <w:p w14:paraId="5D000000">
      <w:pPr>
        <w:pStyle w:val="Style_1"/>
        <w:rPr>
          <w:rFonts w:ascii="Times New Roman" w:hAnsi="Times New Roman"/>
          <w:sz w:val="22"/>
        </w:rPr>
      </w:pPr>
    </w:p>
    <w:p w14:paraId="5E000000">
      <w:pPr>
        <w:pStyle w:val="Style_1"/>
        <w:rPr>
          <w:rFonts w:ascii="Times New Roman" w:hAnsi="Times New Roman"/>
          <w:sz w:val="22"/>
        </w:rPr>
      </w:pPr>
    </w:p>
    <w:p w14:paraId="5F000000">
      <w:pPr>
        <w:pStyle w:val="Style_1"/>
        <w:rPr>
          <w:rFonts w:ascii="Times New Roman" w:hAnsi="Times New Roman"/>
          <w:sz w:val="22"/>
        </w:rPr>
      </w:pPr>
    </w:p>
    <w:p w14:paraId="60000000">
      <w:pPr>
        <w:pStyle w:val="Style_1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Ввод данных в консоль и р</w:t>
      </w:r>
      <w:r>
        <w:rPr>
          <w:rFonts w:ascii="Times New Roman" w:hAnsi="Times New Roman"/>
          <w:sz w:val="28"/>
        </w:rPr>
        <w:t>езультаты работы программы:</w:t>
      </w:r>
    </w:p>
    <w:p w14:paraId="61000000">
      <w:pPr>
        <w:pStyle w:val="Style_1"/>
        <w:ind/>
        <w:jc w:val="center"/>
        <w:rPr>
          <w:rFonts w:ascii="Times New Roman" w:hAnsi="Times New Roman"/>
          <w:sz w:val="28"/>
        </w:rPr>
      </w:pPr>
    </w:p>
    <w:p w14:paraId="62000000">
      <w:pPr>
        <w:pStyle w:val="Style_1"/>
        <w:ind/>
        <w:jc w:val="center"/>
        <w:rPr>
          <w:rFonts w:ascii="Times New Roman" w:hAnsi="Times New Roman"/>
          <w:sz w:val="22"/>
        </w:rPr>
      </w:pPr>
      <w:r>
        <w:drawing>
          <wp:inline>
            <wp:extent cx="5654675" cy="2581370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5654675" cy="258137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3000000">
      <w:pPr>
        <w:pStyle w:val="Style_1"/>
        <w:ind/>
        <w:jc w:val="center"/>
        <w:rPr>
          <w:rFonts w:ascii="Times New Roman" w:hAnsi="Times New Roman"/>
          <w:sz w:val="22"/>
        </w:rPr>
      </w:pPr>
    </w:p>
    <w:p w14:paraId="64000000">
      <w:pPr>
        <w:pStyle w:val="Style_1"/>
        <w:ind/>
        <w:jc w:val="center"/>
        <w:rPr>
          <w:rFonts w:ascii="Times New Roman" w:hAnsi="Times New Roman"/>
          <w:sz w:val="22"/>
        </w:rPr>
      </w:pPr>
    </w:p>
    <w:p w14:paraId="65000000">
      <w:pPr>
        <w:pStyle w:val="Style_1"/>
        <w:ind/>
        <w:jc w:val="center"/>
        <w:rPr>
          <w:rFonts w:ascii="Times New Roman" w:hAnsi="Times New Roman"/>
          <w:sz w:val="22"/>
        </w:rPr>
      </w:pPr>
    </w:p>
    <w:p w14:paraId="66000000">
      <w:pPr>
        <w:pStyle w:val="Style_1"/>
        <w:ind/>
        <w:jc w:val="center"/>
        <w:rPr>
          <w:rFonts w:ascii="Times New Roman" w:hAnsi="Times New Roman"/>
          <w:sz w:val="22"/>
        </w:rPr>
      </w:pPr>
      <w:r>
        <w:drawing>
          <wp:inline>
            <wp:extent cx="5588000" cy="3422081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5588000" cy="3422081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h="16838" w:orient="portrait" w:w="11906"/>
      <w:pgMar w:bottom="1134" w:left="1304" w:right="737" w:top="1134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1">
    <w:lvl w:ilvl="0">
      <w:start w:val="1"/>
      <w:numFmt w:val="decimal"/>
      <w:lvlText w:val="%1)"/>
      <w:pPr>
        <w:ind w:hanging="360" w:left="720"/>
      </w:pPr>
    </w:lvl>
    <w:lvl w:ilvl="1">
      <w:start w:val="1"/>
      <w:numFmt w:val="russianLower"/>
      <w:lvlText w:val="%2)"/>
      <w:pPr>
        <w:ind w:hanging="360" w:left="1440"/>
      </w:pPr>
    </w:lvl>
    <w:lvl w:ilvl="2">
      <w:start w:val="1"/>
      <w:numFmt w:val="lowerRoman"/>
      <w:lvlText w:val="%3)"/>
      <w:lvlJc w:val="right"/>
      <w:pPr>
        <w:ind w:hanging="360" w:left="2160"/>
      </w:pPr>
    </w:lvl>
    <w:lvl w:ilvl="3">
      <w:start w:val="1"/>
      <w:numFmt w:val="decimal"/>
      <w:lvlText w:val="%4)"/>
      <w:pPr>
        <w:ind w:hanging="360" w:left="2880"/>
      </w:pPr>
    </w:lvl>
    <w:lvl w:ilvl="4">
      <w:start w:val="1"/>
      <w:numFmt w:val="russianLower"/>
      <w:lvlText w:val="%5)"/>
      <w:pPr>
        <w:ind w:hanging="360" w:left="3600"/>
      </w:pPr>
    </w:lvl>
    <w:lvl w:ilvl="5">
      <w:start w:val="1"/>
      <w:numFmt w:val="lowerRoman"/>
      <w:lvlText w:val="%6)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russianLow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abstractNum w:abstractNumId="2">
    <w:lvl w:ilvl="0">
      <w:start w:val="1"/>
      <w:numFmt w:val="decimal"/>
      <w:lvlText w:val="%1)"/>
      <w:pPr>
        <w:ind w:hanging="360" w:left="720"/>
      </w:pPr>
    </w:lvl>
    <w:lvl w:ilvl="1">
      <w:start w:val="1"/>
      <w:numFmt w:val="russianLower"/>
      <w:lvlText w:val="%2)"/>
      <w:pPr>
        <w:ind w:hanging="360" w:left="1440"/>
      </w:pPr>
    </w:lvl>
    <w:lvl w:ilvl="2">
      <w:start w:val="1"/>
      <w:numFmt w:val="lowerRoman"/>
      <w:lvlText w:val="%3)"/>
      <w:lvlJc w:val="right"/>
      <w:pPr>
        <w:ind w:hanging="360" w:left="2160"/>
      </w:pPr>
    </w:lvl>
    <w:lvl w:ilvl="3">
      <w:start w:val="1"/>
      <w:numFmt w:val="decimal"/>
      <w:lvlText w:val="%4)"/>
      <w:pPr>
        <w:ind w:hanging="360" w:left="2880"/>
      </w:pPr>
    </w:lvl>
    <w:lvl w:ilvl="4">
      <w:start w:val="1"/>
      <w:numFmt w:val="russianLower"/>
      <w:lvlText w:val="%5)"/>
      <w:pPr>
        <w:ind w:hanging="360" w:left="3600"/>
      </w:pPr>
    </w:lvl>
    <w:lvl w:ilvl="5">
      <w:start w:val="1"/>
      <w:numFmt w:val="lowerRoman"/>
      <w:lvlText w:val="%6)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russianLow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abstractNum w:abstractNumId="3">
    <w:lvl w:ilvl="0">
      <w:start w:val="1"/>
      <w:numFmt w:val="decimal"/>
      <w:lvlText w:val="%1)"/>
      <w:pPr>
        <w:ind w:hanging="360" w:left="720"/>
      </w:pPr>
    </w:lvl>
    <w:lvl w:ilvl="1">
      <w:start w:val="1"/>
      <w:numFmt w:val="russianLower"/>
      <w:lvlText w:val="%2)"/>
      <w:pPr>
        <w:ind w:hanging="360" w:left="1440"/>
      </w:pPr>
    </w:lvl>
    <w:lvl w:ilvl="2">
      <w:start w:val="1"/>
      <w:numFmt w:val="lowerRoman"/>
      <w:lvlText w:val="%3)"/>
      <w:lvlJc w:val="right"/>
      <w:pPr>
        <w:ind w:hanging="360" w:left="2160"/>
      </w:pPr>
    </w:lvl>
    <w:lvl w:ilvl="3">
      <w:start w:val="1"/>
      <w:numFmt w:val="decimal"/>
      <w:lvlText w:val="%4)"/>
      <w:pPr>
        <w:ind w:hanging="360" w:left="2880"/>
      </w:pPr>
    </w:lvl>
    <w:lvl w:ilvl="4">
      <w:start w:val="1"/>
      <w:numFmt w:val="russianLower"/>
      <w:lvlText w:val="%5)"/>
      <w:pPr>
        <w:ind w:hanging="360" w:left="3600"/>
      </w:pPr>
    </w:lvl>
    <w:lvl w:ilvl="5">
      <w:start w:val="1"/>
      <w:numFmt w:val="lowerRoman"/>
      <w:lvlText w:val="%6)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russianLow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abstractNum w:abstractNumId="4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5">
    <w:lvl w:ilvl="0">
      <w:start w:val="1"/>
      <w:numFmt w:val="decimal"/>
      <w:lvlText w:val="%1)"/>
      <w:pPr>
        <w:ind w:hanging="360" w:left="720"/>
      </w:pPr>
    </w:lvl>
    <w:lvl w:ilvl="1">
      <w:start w:val="1"/>
      <w:numFmt w:val="russianLower"/>
      <w:lvlText w:val="%2)"/>
      <w:pPr>
        <w:ind w:hanging="360" w:left="1440"/>
      </w:pPr>
    </w:lvl>
    <w:lvl w:ilvl="2">
      <w:start w:val="1"/>
      <w:numFmt w:val="lowerRoman"/>
      <w:lvlText w:val="%3)"/>
      <w:lvlJc w:val="right"/>
      <w:pPr>
        <w:ind w:hanging="360" w:left="2160"/>
      </w:pPr>
    </w:lvl>
    <w:lvl w:ilvl="3">
      <w:start w:val="1"/>
      <w:numFmt w:val="decimal"/>
      <w:lvlText w:val="%4)"/>
      <w:pPr>
        <w:ind w:hanging="360" w:left="2880"/>
      </w:pPr>
    </w:lvl>
    <w:lvl w:ilvl="4">
      <w:start w:val="1"/>
      <w:numFmt w:val="russianLower"/>
      <w:lvlText w:val="%5)"/>
      <w:pPr>
        <w:ind w:hanging="360" w:left="3600"/>
      </w:pPr>
    </w:lvl>
    <w:lvl w:ilvl="5">
      <w:start w:val="1"/>
      <w:numFmt w:val="lowerRoman"/>
      <w:lvlText w:val="%6)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russianLow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5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End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spacing w:line="240" w:lineRule="auto"/>
      <w:ind/>
      <w:jc w:val="both"/>
    </w:pPr>
    <w:rPr>
      <w:rFonts w:ascii="XO Thames" w:hAnsi="XO Thames"/>
      <w:sz w:val="28"/>
    </w:rPr>
  </w:style>
  <w:style w:default="1" w:styleId="Style_1_ch" w:type="character">
    <w:name w:val="Normal"/>
    <w:link w:val="Style_1"/>
    <w:rPr>
      <w:rFonts w:ascii="XO Thames" w:hAnsi="XO Thames"/>
      <w:sz w:val="28"/>
    </w:rPr>
  </w:style>
  <w:style w:styleId="Style_2" w:type="paragraph">
    <w:name w:val="toc 2"/>
    <w:next w:val="Style_1"/>
    <w:link w:val="Style_2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2_ch" w:type="character">
    <w:name w:val="toc 2"/>
    <w:link w:val="Style_2"/>
    <w:rPr>
      <w:rFonts w:ascii="XO Thames" w:hAnsi="XO Thames"/>
      <w:sz w:val="28"/>
    </w:rPr>
  </w:style>
  <w:style w:styleId="Style_3" w:type="paragraph">
    <w:name w:val="toc 4"/>
    <w:next w:val="Style_1"/>
    <w:link w:val="Style_3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3_ch" w:type="character">
    <w:name w:val="toc 4"/>
    <w:link w:val="Style_3"/>
    <w:rPr>
      <w:rFonts w:ascii="XO Thames" w:hAnsi="XO Thames"/>
      <w:sz w:val="28"/>
    </w:rPr>
  </w:style>
  <w:style w:styleId="Style_4" w:type="paragraph">
    <w:name w:val="toc 6"/>
    <w:next w:val="Style_1"/>
    <w:link w:val="Style_4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4_ch" w:type="character">
    <w:name w:val="toc 6"/>
    <w:link w:val="Style_4"/>
    <w:rPr>
      <w:rFonts w:ascii="XO Thames" w:hAnsi="XO Thames"/>
      <w:sz w:val="28"/>
    </w:rPr>
  </w:style>
  <w:style w:styleId="Style_5" w:type="paragraph">
    <w:name w:val="toc 7"/>
    <w:next w:val="Style_1"/>
    <w:link w:val="Style_5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5_ch" w:type="character">
    <w:name w:val="toc 7"/>
    <w:link w:val="Style_5"/>
    <w:rPr>
      <w:rFonts w:ascii="XO Thames" w:hAnsi="XO Thames"/>
      <w:sz w:val="28"/>
    </w:rPr>
  </w:style>
  <w:style w:styleId="Style_6" w:type="paragraph">
    <w:name w:val="Endnote"/>
    <w:link w:val="Style_6_ch"/>
    <w:pPr>
      <w:ind w:firstLine="851" w:left="0"/>
      <w:jc w:val="both"/>
    </w:pPr>
    <w:rPr>
      <w:rFonts w:ascii="XO Thames" w:hAnsi="XO Thames"/>
      <w:sz w:val="22"/>
    </w:rPr>
  </w:style>
  <w:style w:styleId="Style_6_ch" w:type="character">
    <w:name w:val="Endnote"/>
    <w:link w:val="Style_6"/>
    <w:rPr>
      <w:rFonts w:ascii="XO Thames" w:hAnsi="XO Thames"/>
      <w:sz w:val="22"/>
    </w:rPr>
  </w:style>
  <w:style w:styleId="Style_7" w:type="paragraph">
    <w:name w:val="heading 3"/>
    <w:next w:val="Style_1"/>
    <w:link w:val="Style_7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7_ch" w:type="character">
    <w:name w:val="heading 3"/>
    <w:link w:val="Style_7"/>
    <w:rPr>
      <w:rFonts w:ascii="XO Thames" w:hAnsi="XO Thames"/>
      <w:b w:val="1"/>
      <w:sz w:val="26"/>
    </w:rPr>
  </w:style>
  <w:style w:styleId="Style_8" w:type="paragraph">
    <w:name w:val="toc 3"/>
    <w:next w:val="Style_1"/>
    <w:link w:val="Style_8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8_ch" w:type="character">
    <w:name w:val="toc 3"/>
    <w:link w:val="Style_8"/>
    <w:rPr>
      <w:rFonts w:ascii="XO Thames" w:hAnsi="XO Thames"/>
      <w:sz w:val="28"/>
    </w:rPr>
  </w:style>
  <w:style w:styleId="Style_9" w:type="paragraph">
    <w:name w:val="heading 5"/>
    <w:next w:val="Style_1"/>
    <w:link w:val="Style_9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9_ch" w:type="character">
    <w:name w:val="heading 5"/>
    <w:link w:val="Style_9"/>
    <w:rPr>
      <w:rFonts w:ascii="XO Thames" w:hAnsi="XO Thames"/>
      <w:b w:val="1"/>
      <w:sz w:val="22"/>
    </w:rPr>
  </w:style>
  <w:style w:styleId="Style_10" w:type="paragraph">
    <w:name w:val="heading 1"/>
    <w:next w:val="Style_1"/>
    <w:link w:val="Style_10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10_ch" w:type="character">
    <w:name w:val="heading 1"/>
    <w:link w:val="Style_10"/>
    <w:rPr>
      <w:rFonts w:ascii="XO Thames" w:hAnsi="XO Thames"/>
      <w:b w:val="1"/>
      <w:sz w:val="32"/>
    </w:rPr>
  </w:style>
  <w:style w:styleId="Style_11" w:type="paragraph">
    <w:name w:val="Hyperlink"/>
    <w:link w:val="Style_11_ch"/>
    <w:rPr>
      <w:color w:val="0000FF"/>
      <w:u w:val="single"/>
    </w:rPr>
  </w:style>
  <w:style w:styleId="Style_11_ch" w:type="character">
    <w:name w:val="Hyperlink"/>
    <w:link w:val="Style_11"/>
    <w:rPr>
      <w:color w:val="0000FF"/>
      <w:u w:val="single"/>
    </w:rPr>
  </w:style>
  <w:style w:styleId="Style_12" w:type="paragraph">
    <w:name w:val="Footnote"/>
    <w:link w:val="Style_12_ch"/>
    <w:pPr>
      <w:ind w:firstLine="851" w:left="0"/>
      <w:jc w:val="both"/>
    </w:pPr>
    <w:rPr>
      <w:rFonts w:ascii="XO Thames" w:hAnsi="XO Thames"/>
      <w:sz w:val="22"/>
    </w:rPr>
  </w:style>
  <w:style w:styleId="Style_12_ch" w:type="character">
    <w:name w:val="Footnote"/>
    <w:link w:val="Style_12"/>
    <w:rPr>
      <w:rFonts w:ascii="XO Thames" w:hAnsi="XO Thames"/>
      <w:sz w:val="22"/>
    </w:rPr>
  </w:style>
  <w:style w:styleId="Style_13" w:type="paragraph">
    <w:name w:val="toc 1"/>
    <w:next w:val="Style_1"/>
    <w:link w:val="Style_13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3_ch" w:type="character">
    <w:name w:val="toc 1"/>
    <w:link w:val="Style_13"/>
    <w:rPr>
      <w:rFonts w:ascii="XO Thames" w:hAnsi="XO Thames"/>
      <w:b w:val="1"/>
      <w:sz w:val="28"/>
    </w:rPr>
  </w:style>
  <w:style w:styleId="Style_14" w:type="paragraph">
    <w:name w:val="Header and Footer"/>
    <w:link w:val="Style_14_ch"/>
    <w:pPr>
      <w:spacing w:line="240" w:lineRule="auto"/>
      <w:ind/>
      <w:jc w:val="both"/>
    </w:pPr>
    <w:rPr>
      <w:rFonts w:ascii="XO Thames" w:hAnsi="XO Thames"/>
      <w:sz w:val="28"/>
    </w:rPr>
  </w:style>
  <w:style w:styleId="Style_14_ch" w:type="character">
    <w:name w:val="Header and Footer"/>
    <w:link w:val="Style_14"/>
    <w:rPr>
      <w:rFonts w:ascii="XO Thames" w:hAnsi="XO Thames"/>
      <w:sz w:val="28"/>
    </w:rPr>
  </w:style>
  <w:style w:styleId="Style_15" w:type="paragraph">
    <w:name w:val="toc 9"/>
    <w:next w:val="Style_1"/>
    <w:link w:val="Style_15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5_ch" w:type="character">
    <w:name w:val="toc 9"/>
    <w:link w:val="Style_15"/>
    <w:rPr>
      <w:rFonts w:ascii="XO Thames" w:hAnsi="XO Thames"/>
      <w:sz w:val="28"/>
    </w:rPr>
  </w:style>
  <w:style w:styleId="Style_16" w:type="paragraph">
    <w:name w:val="toc 8"/>
    <w:next w:val="Style_1"/>
    <w:link w:val="Style_16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6_ch" w:type="character">
    <w:name w:val="toc 8"/>
    <w:link w:val="Style_16"/>
    <w:rPr>
      <w:rFonts w:ascii="XO Thames" w:hAnsi="XO Thames"/>
      <w:sz w:val="28"/>
    </w:rPr>
  </w:style>
  <w:style w:styleId="Style_17" w:type="paragraph">
    <w:name w:val="toc 5"/>
    <w:next w:val="Style_1"/>
    <w:link w:val="Style_17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7_ch" w:type="character">
    <w:name w:val="toc 5"/>
    <w:link w:val="Style_17"/>
    <w:rPr>
      <w:rFonts w:ascii="XO Thames" w:hAnsi="XO Thames"/>
      <w:sz w:val="28"/>
    </w:rPr>
  </w:style>
  <w:style w:styleId="Style_18" w:type="paragraph">
    <w:name w:val="Subtitle"/>
    <w:next w:val="Style_1"/>
    <w:link w:val="Style_18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8_ch" w:type="character">
    <w:name w:val="Subtitle"/>
    <w:link w:val="Style_18"/>
    <w:rPr>
      <w:rFonts w:ascii="XO Thames" w:hAnsi="XO Thames"/>
      <w:i w:val="1"/>
      <w:sz w:val="24"/>
    </w:rPr>
  </w:style>
  <w:style w:styleId="Style_19" w:type="paragraph">
    <w:name w:val="Title"/>
    <w:next w:val="Style_1"/>
    <w:link w:val="Style_19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9_ch" w:type="character">
    <w:name w:val="Title"/>
    <w:link w:val="Style_19"/>
    <w:rPr>
      <w:rFonts w:ascii="XO Thames" w:hAnsi="XO Thames"/>
      <w:b w:val="1"/>
      <w:caps w:val="1"/>
      <w:sz w:val="40"/>
    </w:rPr>
  </w:style>
  <w:style w:styleId="Style_20" w:type="paragraph">
    <w:name w:val="heading 4"/>
    <w:next w:val="Style_1"/>
    <w:link w:val="Style_20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20_ch" w:type="character">
    <w:name w:val="heading 4"/>
    <w:link w:val="Style_20"/>
    <w:rPr>
      <w:rFonts w:ascii="XO Thames" w:hAnsi="XO Thames"/>
      <w:b w:val="1"/>
      <w:sz w:val="24"/>
    </w:rPr>
  </w:style>
  <w:style w:styleId="Style_21" w:type="paragraph">
    <w:name w:val="heading 2"/>
    <w:next w:val="Style_1"/>
    <w:link w:val="Style_21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1_ch" w:type="character">
    <w:name w:val="heading 2"/>
    <w:link w:val="Style_21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6" Target="fontTable.xml" Type="http://schemas.openxmlformats.org/officeDocument/2006/relationships/fontTable"/>
  <Relationship Id="rId1" Target="media/1.png" Type="http://schemas.openxmlformats.org/officeDocument/2006/relationships/image"/>
  <Relationship Id="rId12" Target="numbering.xml" Type="http://schemas.openxmlformats.org/officeDocument/2006/relationships/numbering"/>
  <Relationship Id="rId10" Target="webSettings.xml" Type="http://schemas.openxmlformats.org/officeDocument/2006/relationships/webSettings"/>
  <Relationship Id="rId2" Target="media/2.png" Type="http://schemas.openxmlformats.org/officeDocument/2006/relationships/image"/>
  <Relationship Id="rId3" Target="media/3.png" Type="http://schemas.openxmlformats.org/officeDocument/2006/relationships/image"/>
  <Relationship Id="rId8" Target="styles.xml" Type="http://schemas.openxmlformats.org/officeDocument/2006/relationships/styles"/>
  <Relationship Id="rId4" Target="media/4.png" Type="http://schemas.openxmlformats.org/officeDocument/2006/relationships/image"/>
  <Relationship Id="rId11" Target="theme/theme1.xml" Type="http://schemas.openxmlformats.org/officeDocument/2006/relationships/theme"/>
  <Relationship Id="rId9" Target="stylesWithEffects.xml" Type="http://schemas.microsoft.com/office/2007/relationships/stylesWithEffects"/>
  <Relationship Id="rId7" Target="settings.xml" Type="http://schemas.openxmlformats.org/officeDocument/2006/relationships/settings"/>
  <Relationship Id="rId5" Target="media/5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  <a:prstDash val="solid"/>
        </a:ln>
        <a:ln>
          <a:solidFill>
            <a:schemeClr val="phClr"/>
          </a:solidFill>
          <a:prstDash val="solid"/>
        </a:ln>
        <a:ln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MyOffice-CoreFramework-Windows/31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2024-12-14T18:46:16Z</dcterms:modified>
</cp:coreProperties>
</file>