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Instrumentação e Analítica — {{PRODUTO}}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Visão de Produto</w:t>
        </w:r>
      </w:hyperlink>
      <w:r>
        <w:t xml:space="preserve"> </w:t>
      </w:r>
      <w:r>
        <w:t xml:space="preserve">§4 promete métricas de sucesso. Este é o</w:t>
      </w:r>
      <w:r>
        <w:t xml:space="preserve"> </w:t>
      </w:r>
      <w:r>
        <w:t xml:space="preserve">documento que as torna possíveis: que eventos o produto emite, com que nome, com</w:t>
      </w:r>
      <w:r>
        <w:t xml:space="preserve"> </w:t>
      </w:r>
      <w:r>
        <w:t xml:space="preserve">que propriedades — e o que se faz para isso não se transformar numa recolha de</w:t>
      </w:r>
      <w:r>
        <w:t xml:space="preserve"> </w:t>
      </w:r>
      <w:r>
        <w:t xml:space="preserve">dados que ninguém consegue justificar perante o RGPD.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{{PO}} · {{Tech lead}} para a 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ficam os dados</w:t>
            </w:r>
          </w:p>
        </w:tc>
        <w:tc>
          <w:tcPr/>
          <w:p>
            <w:pPr>
              <w:pStyle w:val="Compact"/>
            </w:pPr>
            <w:r>
              <w:t xml:space="preserve">{{UE / fornecedor}}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0" w:name="da-métrica-ao-evento"/>
    <w:p>
      <w:pPr>
        <w:pStyle w:val="Heading2"/>
      </w:pPr>
      <w:r>
        <w:t xml:space="preserve">1. Da métrica ao evento</w:t>
      </w:r>
    </w:p>
    <w:p>
      <w:pPr>
        <w:pStyle w:val="FirstParagraph"/>
      </w:pPr>
      <w:r>
        <w:t xml:space="preserve">Cada métrica prometida na visão tem de ter, aqui, os eventos que a calculam. Sem esta</w:t>
      </w:r>
      <w:r>
        <w:t xml:space="preserve"> </w:t>
      </w:r>
      <w:r>
        <w:t xml:space="preserve">tabela, a métrica é uma intenção.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 de sucesso</w:t>
            </w:r>
          </w:p>
        </w:tc>
        <w:tc>
          <w:tcPr/>
          <w:p>
            <w:pPr>
              <w:pStyle w:val="Compact"/>
            </w:pPr>
            <w:r>
              <w:t xml:space="preserve">Como se calcula</w:t>
            </w:r>
          </w:p>
        </w:tc>
        <w:tc>
          <w:tcPr/>
          <w:p>
            <w:pPr>
              <w:pStyle w:val="Compact"/>
            </w:pPr>
            <w:r>
              <w:t xml:space="preserve">Eventos necessários</w:t>
            </w:r>
          </w:p>
        </w:tc>
        <w:tc>
          <w:tcPr/>
          <w:p>
            <w:pPr>
              <w:pStyle w:val="Compact"/>
            </w:pPr>
            <w:r>
              <w:t xml:space="preserve">Existe?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{{% de encomendas criadas sem erro}}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encomenda_concluida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encomenda_iniciada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{{Não}}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{{Tempo até à primeira encomenda}}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encomenda_concluida.data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conta_criada.data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{{Adesão à funcionalidade {{X}}}}</w:t>
            </w:r>
          </w:p>
        </w:tc>
        <w:tc>
          <w:tcPr/>
          <w:p>
            <w:pPr>
              <w:pStyle w:val="Compact"/>
            </w:pPr>
            <w:r>
              <w:t xml:space="preserve">{{utilizadores distintos com</w:t>
            </w:r>
            <w:r>
              <w:t xml:space="preserve"> </w:t>
            </w:r>
            <w:r>
              <w:rPr>
                <w:rStyle w:val="VerbatimChar"/>
              </w:rPr>
              <w:t xml:space="preserve">{{x}}_usado</w:t>
            </w:r>
            <w:r>
              <w:t xml:space="preserve"> </w:t>
            </w:r>
            <w:r>
              <w:t xml:space="preserve">/ ativos}}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{{Não}}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Nunca se instrumenta</w:t>
      </w:r>
      <w:r>
        <w:rPr>
          <w:b/>
          <w:bCs/>
        </w:rPr>
        <w:t xml:space="preserve"> </w:t>
      </w:r>
      <w:r>
        <w:rPr>
          <w:b/>
          <w:bCs/>
        </w:rPr>
        <w:t xml:space="preserve">“por via das dúvidas”</w:t>
      </w:r>
      <w:r>
        <w:rPr>
          <w:b/>
          <w:bCs/>
        </w:rPr>
        <w:t xml:space="preserve">.</w:t>
      </w:r>
      <w:r>
        <w:t xml:space="preserve"> </w:t>
      </w:r>
      <w:r>
        <w:t xml:space="preserve">Cada evento tem de ter uma pergunta</w:t>
      </w:r>
      <w:r>
        <w:t xml:space="preserve"> </w:t>
      </w:r>
      <w:r>
        <w:t xml:space="preserve">por trás — e essa pergunta tem de ter alguém que a queira responder.</w:t>
      </w:r>
    </w:p>
    <w:p>
      <w:r>
        <w:pict>
          <v:rect style="width:0;height:1.5pt" o:hralign="center" o:hrstd="t" o:hr="t"/>
        </w:pict>
      </w:r>
    </w:p>
    <w:bookmarkEnd w:id="50"/>
    <w:bookmarkStart w:id="51" w:name="convenção-de-nomes"/>
    <w:p>
      <w:pPr>
        <w:pStyle w:val="Heading2"/>
      </w:pPr>
      <w:r>
        <w:t xml:space="preserve">2. Convenção de nomes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objeto_acao</w:t>
            </w:r>
            <w:r>
              <w:t xml:space="preserve">, em minúsculas, com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encomenda_criada</w:t>
            </w:r>
            <w:r>
              <w:t xml:space="preserve">, não</w:t>
            </w:r>
            <w:r>
              <w:t xml:space="preserve"> </w:t>
            </w:r>
            <w:r>
              <w:rPr>
                <w:rStyle w:val="VerbatimChar"/>
              </w:rPr>
              <w:t xml:space="preserve">CriarEncomenda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Verbo no</w:t>
            </w:r>
            <w:r>
              <w:t xml:space="preserve"> </w:t>
            </w:r>
            <w:r>
              <w:rPr>
                <w:b/>
                <w:bCs/>
              </w:rPr>
              <w:t xml:space="preserve">passado</w:t>
            </w:r>
            <w:r>
              <w:t xml:space="preserve"> </w:t>
            </w:r>
            <w:r>
              <w:t xml:space="preserve">— o evento já aconteceu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sessao_iniciada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Objeto primeiro, para agrupar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espaços, acentos ou nomes de ecrãs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encomenda_criada</w:t>
            </w:r>
            <w:r>
              <w:t xml:space="preserve">, não</w:t>
            </w:r>
            <w:r>
              <w:t xml:space="preserve"> </w:t>
            </w:r>
            <w:r>
              <w:rPr>
                <w:rStyle w:val="VerbatimChar"/>
              </w:rPr>
              <w:t xml:space="preserve">botão_ecrã_2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Propriedades também em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metodo_pagamento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Um nome só se muda criando outro evento.</w:t>
      </w:r>
      <w:r>
        <w:t xml:space="preserve"> </w:t>
      </w:r>
      <w:r>
        <w:t xml:space="preserve">Renomear parte o histórico e as</w:t>
      </w:r>
      <w:r>
        <w:t xml:space="preserve"> </w:t>
      </w:r>
      <w:r>
        <w:t xml:space="preserve">comparações passam a mentir.</w:t>
      </w:r>
    </w:p>
    <w:p>
      <w:r>
        <w:pict>
          <v:rect style="width:0;height:1.5pt" o:hralign="center" o:hrstd="t" o:hr="t"/>
        </w:pict>
      </w:r>
    </w:p>
    <w:bookmarkEnd w:id="51"/>
    <w:bookmarkStart w:id="52" w:name="catálogo-de-eventos"/>
    <w:p>
      <w:pPr>
        <w:pStyle w:val="Heading2"/>
      </w:pPr>
      <w:r>
        <w:t xml:space="preserve">3. Catálogo de eventos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Quando dispara</w:t>
            </w:r>
          </w:p>
        </w:tc>
        <w:tc>
          <w:tcPr/>
          <w:p>
            <w:pPr>
              <w:pStyle w:val="Compact"/>
            </w:pPr>
            <w:r>
              <w:t xml:space="preserve">Propriedades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Métrica que 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conta_criada</w:t>
            </w:r>
          </w:p>
        </w:tc>
        <w:tc>
          <w:tcPr/>
          <w:p>
            <w:pPr>
              <w:pStyle w:val="Compact"/>
            </w:pPr>
            <w:r>
              <w:t xml:space="preserve">{{Após confirmação do email}}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origem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plano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{{Aquisição}}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sessao_iniciada</w:t>
            </w:r>
          </w:p>
        </w:tc>
        <w:tc>
          <w:tcPr/>
          <w:p>
            <w:pPr>
              <w:pStyle w:val="Compact"/>
            </w:pPr>
            <w:r>
              <w:t xml:space="preserve">{{Autenticação com sucesso}}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metodo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{{Atividade}}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encomenda_iniciada</w:t>
            </w:r>
          </w:p>
        </w:tc>
        <w:tc>
          <w:tcPr/>
          <w:p>
            <w:pPr>
              <w:pStyle w:val="Compact"/>
            </w:pPr>
            <w:r>
              <w:t xml:space="preserve">{{Abre o formulário}}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canal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{{Conversão}}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encomenda_concluida</w:t>
            </w:r>
          </w:p>
        </w:tc>
        <w:tc>
          <w:tcPr/>
          <w:p>
            <w:pPr>
              <w:pStyle w:val="Compact"/>
            </w:pPr>
            <w:r>
              <w:t xml:space="preserve">{{Gravação com sucesso}}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n_linhas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valor_escalao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duracao_s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{{Conversão, tempo}}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erro_apresentado</w:t>
            </w:r>
          </w:p>
        </w:tc>
        <w:tc>
          <w:tcPr/>
          <w:p>
            <w:pPr>
              <w:pStyle w:val="Compact"/>
            </w:pPr>
            <w:r>
              <w:t xml:space="preserve">{{Mensagem de erro visível}}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codigo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ecra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  <w:tc>
          <w:tcPr/>
          <w:p>
            <w:pPr>
              <w:pStyle w:val="Compact"/>
            </w:pPr>
            <w:r>
              <w:t xml:space="preserve">{{Qualidade}}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Propriedades comuns a todos:</w:t>
      </w:r>
      <w:r>
        <w:t xml:space="preserve"> </w:t>
      </w:r>
      <w:r>
        <w:t xml:space="preserve">{{</w:t>
      </w:r>
      <w:r>
        <w:rPr>
          <w:rStyle w:val="VerbatimChar"/>
        </w:rPr>
        <w:t xml:space="preserve">versao_app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plataforma</w:t>
      </w:r>
      <w:r>
        <w:t xml:space="preserve">,</w:t>
      </w:r>
      <w:r>
        <w:t xml:space="preserve"> </w:t>
      </w:r>
      <w:r>
        <w:rPr>
          <w:rStyle w:val="VerbatimChar"/>
        </w:rPr>
        <w:t xml:space="preserve">id_utilizador_pseudonimizado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momento</w:t>
      </w:r>
      <w:r>
        <w:t xml:space="preserve">}}.</w:t>
      </w:r>
    </w:p>
    <w:p>
      <w:r>
        <w:pict>
          <v:rect style="width:0;height:1.5pt" o:hralign="center" o:hrstd="t" o:hr="t"/>
        </w:pict>
      </w:r>
    </w:p>
    <w:bookmarkEnd w:id="52"/>
    <w:bookmarkStart w:id="53" w:name="o-que-nunca-entra-num-evento"/>
    <w:p>
      <w:pPr>
        <w:pStyle w:val="Heading2"/>
      </w:pPr>
      <w:r>
        <w:t xml:space="preserve">4. O que nunca entra num evento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Nunca</w:t>
            </w:r>
          </w:p>
        </w:tc>
        <w:tc>
          <w:tcPr/>
          <w:p>
            <w:pPr>
              <w:pStyle w:val="Compact"/>
            </w:pPr>
            <w:r>
              <w:t xml:space="preserve">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Nome, email, telefone, morada</w:t>
            </w:r>
          </w:p>
        </w:tc>
        <w:tc>
          <w:tcPr/>
          <w:p>
            <w:pPr>
              <w:pStyle w:val="Compact"/>
            </w:pPr>
            <w:r>
              <w:t xml:space="preserve">Identificador pseudonimizado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monetários exatos por transação</w:t>
            </w:r>
          </w:p>
        </w:tc>
        <w:tc>
          <w:tcPr/>
          <w:p>
            <w:pPr>
              <w:pStyle w:val="Compact"/>
            </w:pPr>
            <w:r>
              <w:t xml:space="preserve">Escalões ({{</w:t>
            </w:r>
            <w:r>
              <w:rPr>
                <w:rStyle w:val="VerbatimChar"/>
              </w:rPr>
              <w:t xml:space="preserve">0-50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50-200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200+</w:t>
            </w:r>
            <w:r>
              <w:t xml:space="preserve">}})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Conteúdo de campos livres</w:t>
            </w:r>
          </w:p>
        </w:tc>
        <w:tc>
          <w:tcPr/>
          <w:p>
            <w:pPr>
              <w:pStyle w:val="Compact"/>
            </w:pPr>
            <w:r>
              <w:t xml:space="preserve">Comprimento, ou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Identificadores de clientes finais</w:t>
            </w:r>
          </w:p>
        </w:tc>
        <w:tc>
          <w:tcPr/>
          <w:p>
            <w:pPr>
              <w:pStyle w:val="Compact"/>
            </w:pPr>
            <w:r>
              <w:t xml:space="preserve">Identificador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categorias especiais (saúde, etc.)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Nada</w:t>
            </w:r>
            <w:r>
              <w:t xml:space="preserve"> </w:t>
            </w:r>
            <w:r>
              <w:t xml:space="preserve">— não se recolhe</w:t>
            </w:r>
          </w:p>
        </w:tc>
      </w:tr>
    </w:tbl>
    <w:p>
      <w:pPr>
        <w:pStyle w:val="BlockText"/>
      </w:pPr>
      <w:r>
        <w:t xml:space="preserve">A regra prática: se o evento aparecesse num ecrã público, incomodaria alguém?</w:t>
      </w:r>
      <w:r>
        <w:t xml:space="preserve"> </w:t>
      </w:r>
      <w:r>
        <w:t xml:space="preserve">Então não vai no evento.</w:t>
      </w:r>
    </w:p>
    <w:p>
      <w:r>
        <w:pict>
          <v:rect style="width:0;height:1.5pt" o:hralign="center" o:hrstd="t" o:hr="t"/>
        </w:pict>
      </w:r>
    </w:p>
    <w:bookmarkEnd w:id="53"/>
    <w:bookmarkStart w:id="56" w:name="consentimento"/>
    <w:p>
      <w:pPr>
        <w:pStyle w:val="Heading2"/>
      </w:pPr>
      <w:r>
        <w:t xml:space="preserve">5. Consentimento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  <w:tc>
          <w:tcPr/>
          <w:p>
            <w:pPr>
              <w:pStyle w:val="Compact"/>
            </w:pPr>
            <w:r>
              <w:t xml:space="preserve">Precisa de consentimento?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{{Essencial (segurança, prevenção de fraude)}}</w:t>
            </w:r>
          </w:p>
        </w:tc>
        <w:tc>
          <w:tcPr/>
          <w:p>
            <w:pPr>
              <w:pStyle w:val="Compact"/>
            </w:pPr>
            <w:r>
              <w:t xml:space="preserve">Interesse legítimo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{{Analítica de produto}}</w:t>
            </w:r>
          </w:p>
        </w:tc>
        <w:tc>
          <w:tcPr/>
          <w:p>
            <w:pPr>
              <w:pStyle w:val="Compact"/>
            </w:pPr>
            <w:r>
              <w:t xml:space="preserve">{{Consentimento}}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{{Marketing e perfis}}</w:t>
            </w:r>
          </w:p>
        </w:tc>
        <w:tc>
          <w:tcPr/>
          <w:p>
            <w:pPr>
              <w:pStyle w:val="Compact"/>
            </w:pPr>
            <w:r>
              <w:t xml:space="preserve">Consentimento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Implicações técnicas, e são a parte que costuma faltar:</w:t>
      </w:r>
    </w:p>
    <w:p>
      <w:pPr>
        <w:pStyle w:val="Compact"/>
        <w:numPr>
          <w:ilvl w:val="0"/>
          <w:numId w:val="1001"/>
        </w:numPr>
      </w:pPr>
      <w:r>
        <w:t xml:space="preserve">Enquanto não houver consentimento,</w:t>
      </w:r>
      <w:r>
        <w:t xml:space="preserve"> </w:t>
      </w:r>
      <w:r>
        <w:rPr>
          <w:b/>
          <w:bCs/>
        </w:rPr>
        <w:t xml:space="preserve">não se emite</w:t>
      </w:r>
      <w:r>
        <w:t xml:space="preserve"> </w:t>
      </w:r>
      <w:r>
        <w:t xml:space="preserve">o evento — não basta não o processar.</w:t>
      </w:r>
    </w:p>
    <w:p>
      <w:pPr>
        <w:pStyle w:val="Compact"/>
        <w:numPr>
          <w:ilvl w:val="0"/>
          <w:numId w:val="1001"/>
        </w:numPr>
      </w:pPr>
      <w:r>
        <w:t xml:space="preserve">Retirar o consentimento apaga o histórico associado a esse utilizador, em {{30 dias}}.</w:t>
      </w:r>
    </w:p>
    <w:p>
      <w:pPr>
        <w:pStyle w:val="Compact"/>
        <w:numPr>
          <w:ilvl w:val="0"/>
          <w:numId w:val="1001"/>
        </w:numPr>
      </w:pPr>
      <w:r>
        <w:t xml:space="preserve">O estado do consentimento é verificado no cliente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no servidor.</w:t>
      </w:r>
    </w:p>
    <w:p>
      <w:pPr>
        <w:pStyle w:val="Compact"/>
        <w:numPr>
          <w:ilvl w:val="0"/>
          <w:numId w:val="1001"/>
        </w:numPr>
      </w:pPr>
      <w:r>
        <w:t xml:space="preserve">Ver</w:t>
      </w:r>
      <w:r>
        <w:t xml:space="preserve"> </w:t>
      </w:r>
      <w:hyperlink r:id="rId54">
        <w:r>
          <w:rPr>
            <w:rStyle w:val="Hyperlink"/>
          </w:rPr>
          <w:t xml:space="preserve">Privacidade / RGPD</w:t>
        </w:r>
      </w:hyperlink>
      <w:r>
        <w:t xml:space="preserve"> </w:t>
      </w:r>
      <w:r>
        <w:t xml:space="preserve">§8 e a</w:t>
      </w:r>
      <w:r>
        <w:t xml:space="preserve"> </w:t>
      </w:r>
      <w:hyperlink r:id="rId55">
        <w:r>
          <w:rPr>
            <w:rStyle w:val="Hyperlink"/>
          </w:rPr>
          <w:t xml:space="preserve">política pública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qualidade-dos-dados"/>
    <w:p>
      <w:pPr>
        <w:pStyle w:val="Heading2"/>
      </w:pPr>
      <w:r>
        <w:t xml:space="preserve">6. Qualidade dos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Esquema versionado dos eventos, validado no envio</w:t>
            </w:r>
          </w:p>
        </w:tc>
        <w:tc>
          <w:tcPr/>
          <w:p>
            <w:pPr>
              <w:pStyle w:val="Compact"/>
            </w:pPr>
            <w:r>
              <w:t xml:space="preserve">Um evento com propriedade errada é pior do que nenhum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 automático por evento crítico</w:t>
            </w:r>
          </w:p>
        </w:tc>
        <w:tc>
          <w:tcPr/>
          <w:p>
            <w:pPr>
              <w:pStyle w:val="Compact"/>
            </w:pPr>
            <w:r>
              <w:t xml:space="preserve">Instrumentação parte-se em silêncio a cada refactor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 de testes separado do de produção</w:t>
            </w:r>
          </w:p>
        </w:tc>
        <w:tc>
          <w:tcPr/>
          <w:p>
            <w:pPr>
              <w:pStyle w:val="Compact"/>
            </w:pPr>
            <w:r>
              <w:t xml:space="preserve">Senão os testes contam como utilização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 de volume anormal</w:t>
            </w:r>
          </w:p>
        </w:tc>
        <w:tc>
          <w:tcPr/>
          <w:p>
            <w:pPr>
              <w:pStyle w:val="Compact"/>
            </w:pPr>
            <w:r>
              <w:t xml:space="preserve">Queda a zero = instrumentação partida, não fim do negócio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do catálogo por ciclo</w:t>
            </w:r>
          </w:p>
        </w:tc>
        <w:tc>
          <w:tcPr/>
          <w:p>
            <w:pPr>
              <w:pStyle w:val="Compact"/>
            </w:pPr>
            <w:r>
              <w:t xml:space="preserve">Eventos que ninguém consulta há {{6 meses}} são removidos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quem-olha-e-quando"/>
    <w:p>
      <w:pPr>
        <w:pStyle w:val="Heading2"/>
      </w:pPr>
      <w:r>
        <w:t xml:space="preserve">7. Quem olha, e quando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Painel</w:t>
            </w:r>
          </w:p>
        </w:tc>
        <w:tc>
          <w:tcPr/>
          <w:p>
            <w:pPr>
              <w:pStyle w:val="Compact"/>
            </w:pPr>
            <w:r>
              <w:t xml:space="preserve">Perguntas que responde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Cadência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{{Adesão}}</w:t>
            </w:r>
          </w:p>
        </w:tc>
        <w:tc>
          <w:tcPr/>
          <w:p>
            <w:pPr>
              <w:pStyle w:val="Compact"/>
            </w:pPr>
            <w:r>
              <w:t xml:space="preserve">{{Quem usa o quê}}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{{Semanal}}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{{Conversão}}</w:t>
            </w:r>
          </w:p>
        </w:tc>
        <w:tc>
          <w:tcPr/>
          <w:p>
            <w:pPr>
              <w:pStyle w:val="Compact"/>
            </w:pPr>
            <w:r>
              <w:t xml:space="preserve">{{Onde se desiste}}</w:t>
            </w:r>
          </w:p>
        </w:tc>
        <w:tc>
          <w:tcPr/>
          <w:p>
            <w:pPr>
              <w:pStyle w:val="Compact"/>
            </w:pPr>
            <w:r>
              <w:t xml:space="preserve">{{PO, UX}}</w:t>
            </w:r>
          </w:p>
        </w:tc>
        <w:tc>
          <w:tcPr/>
          <w:p>
            <w:pPr>
              <w:pStyle w:val="Compact"/>
            </w:pPr>
            <w:r>
              <w:t xml:space="preserve">{{Semanal}}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{{Qualidade}}</w:t>
            </w:r>
          </w:p>
        </w:tc>
        <w:tc>
          <w:tcPr/>
          <w:p>
            <w:pPr>
              <w:pStyle w:val="Compact"/>
            </w:pPr>
            <w:r>
              <w:t xml:space="preserve">{{Que erros aparecem aos utilizadores}}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  <w:tc>
          <w:tcPr/>
          <w:p>
            <w:pPr>
              <w:pStyle w:val="Compact"/>
            </w:pPr>
            <w:r>
              <w:t xml:space="preserve">{{Diária}}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Um painel sem dono e sem cadência de leitura é um painel morto.</w:t>
      </w:r>
      <w:r>
        <w:t xml:space="preserve"> </w:t>
      </w:r>
      <w:r>
        <w:t xml:space="preserve">Fecha-se.</w:t>
      </w:r>
    </w:p>
    <w:p>
      <w:r>
        <w:pict>
          <v:rect style="width:0;height:1.5pt" o:hralign="center" o:hrstd="t" o:hr="t"/>
        </w:pict>
      </w:r>
    </w:p>
    <w:bookmarkEnd w:id="58"/>
    <w:bookmarkStart w:id="62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Visão de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 métricas que isto sustenta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fundamento da recolha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Jornada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se decidem os pontos a medir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Monitorização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equivalente técnico: saúde, não comportamento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Modelo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Classificação de privacidade dos campos</w:t>
            </w:r>
          </w:p>
        </w:tc>
      </w:tr>
    </w:tbl>
    <w:bookmarkEnd w:id="62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9" Target="../02-analise/04-jornada-do-utilizador.md" TargetMode="External" /><Relationship Type="http://schemas.openxmlformats.org/officeDocument/2006/relationships/hyperlink" Id="rId61" Target="../03-arquitetura/03-modelo-dados.md" TargetMode="External" /><Relationship Type="http://schemas.openxmlformats.org/officeDocument/2006/relationships/hyperlink" Id="rId60" Target="../06-operacao/04-monitorizacao.md" TargetMode="External" /><Relationship Type="http://schemas.openxmlformats.org/officeDocument/2006/relationships/hyperlink" Id="rId54" Target="../07-governanca/02-privacidade-rgpd.md" TargetMode="External" /><Relationship Type="http://schemas.openxmlformats.org/officeDocument/2006/relationships/hyperlink" Id="rId55" Target="../07-governanca/08-politica-privacidade-e-termos.md" TargetMode="External" /><Relationship Type="http://schemas.openxmlformats.org/officeDocument/2006/relationships/hyperlink" Id="rId49" Target="01-visao-produt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../02-analise/04-jornada-do-utilizador.md" TargetMode="External" /><Relationship Type="http://schemas.openxmlformats.org/officeDocument/2006/relationships/hyperlink" Id="rId61" Target="../03-arquitetura/03-modelo-dados.md" TargetMode="External" /><Relationship Type="http://schemas.openxmlformats.org/officeDocument/2006/relationships/hyperlink" Id="rId60" Target="../06-operacao/04-monitorizacao.md" TargetMode="External" /><Relationship Type="http://schemas.openxmlformats.org/officeDocument/2006/relationships/hyperlink" Id="rId54" Target="../07-governanca/02-privacidade-rgpd.md" TargetMode="External" /><Relationship Type="http://schemas.openxmlformats.org/officeDocument/2006/relationships/hyperlink" Id="rId55" Target="../07-governanca/08-politica-privacidade-e-termos.md" TargetMode="External" /><Relationship Type="http://schemas.openxmlformats.org/officeDocument/2006/relationships/hyperlink" Id="rId49" Target="01-visao-produt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Instrumentação e Analítica — {{PRODUTO}}</dc:title>
  <dc:creator/>
  <dc:language>pt-PT</dc:language>
  <cp:keywords/>
  <dcterms:created xsi:type="dcterms:W3CDTF">2026-08-24T15:58:57Z</dcterms:created>
  <dcterms:modified xsi:type="dcterms:W3CDTF">2026-08-24T15:58:57Z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