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Glossário e Linguagem Ubíqua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Um termo, uma definição, em todo o lado: conversas, requisitos, código, base de dados e interface. Quando o negócio diz</w:t>
      </w:r>
      <w:r>
        <w:t xml:space="preserve"> </w:t>
      </w:r>
      <w:r>
        <w:t xml:space="preserve">“Encomenda”</w:t>
      </w:r>
      <w:r>
        <w:t xml:space="preserve">, a classe chama-se</w:t>
      </w:r>
      <w:r>
        <w:t xml:space="preserve"> </w:t>
      </w:r>
      <w:r>
        <w:rPr>
          <w:rStyle w:val="VerbatimChar"/>
        </w:rPr>
        <w:t xml:space="preserve">Encomenda</w:t>
      </w:r>
      <w:r>
        <w:t xml:space="preserve"> </w:t>
      </w:r>
      <w:r>
        <w:t xml:space="preserve">— não</w:t>
      </w:r>
      <w:r>
        <w:t xml:space="preserve"> </w:t>
      </w:r>
      <w:r>
        <w:rPr>
          <w:rStyle w:val="VerbatimChar"/>
        </w:rPr>
        <w:t xml:space="preserve">OrderEntity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Responsável pelo glossário: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51" w:name="termos-de-domínio"/>
    <w:p>
      <w:pPr>
        <w:pStyle w:val="Heading2"/>
      </w:pPr>
      <w:r>
        <w:t xml:space="preserve">Termos de domínio</w:t>
      </w:r>
    </w:p>
    <w:bookmarkStart w:id="49" w:name="encomenda"/>
    <w:p>
      <w:pPr>
        <w:pStyle w:val="Heading3"/>
      </w:pPr>
      <w:r>
        <w:t xml:space="preserve">{{Encomenda}}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{{Pedido formal de um cliente para fornecimento de produtos, com preço e prazo acordados.}}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confundir com</w:t>
            </w:r>
          </w:p>
        </w:tc>
        <w:tc>
          <w:tcPr/>
          <w:p>
            <w:pPr>
              <w:pStyle w:val="Compact"/>
            </w:pPr>
            <w:r>
              <w:t xml:space="preserve">{{Orçamento (sem compromisso) · Guia de remessa (documento de expedição)}}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Sinónimos rejeitados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“Pedido”</w:t>
            </w:r>
            <w:r>
              <w:t xml:space="preserve">,</w:t>
            </w:r>
            <w:r>
              <w:t xml:space="preserve"> </w:t>
            </w:r>
            <w:r>
              <w:t xml:space="preserve">“Order”</w:t>
            </w:r>
            <w:r>
              <w:t xml:space="preserve"> </w:t>
            </w:r>
            <w:r>
              <w:t xml:space="preserve">— usar sempre</w:t>
            </w:r>
            <w:r>
              <w:t xml:space="preserve"> </w:t>
            </w:r>
            <w:r>
              <w:t xml:space="preserve">“Encomenda”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 por</w:t>
            </w:r>
          </w:p>
        </w:tc>
        <w:tc>
          <w:tcPr/>
          <w:p>
            <w:pPr>
              <w:pStyle w:val="Compact"/>
            </w:pPr>
            <w:r>
              <w:t xml:space="preserve">{{Número de encomenda, formato</w:t>
            </w:r>
            <w:r>
              <w:t xml:space="preserve"> </w:t>
            </w:r>
            <w:r>
              <w:rPr>
                <w:rStyle w:val="VerbatimChar"/>
              </w:rPr>
              <w:t xml:space="preserve">ENC-AAAA-nnnnn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possíveis</w:t>
            </w:r>
          </w:p>
        </w:tc>
        <w:tc>
          <w:tcPr/>
          <w:p>
            <w:pPr>
              <w:pStyle w:val="Compact"/>
            </w:pPr>
            <w:r>
              <w:t xml:space="preserve">{{Rascunho → Submetida → Aprovada → Em preparação → Expedida → Entregue / Cancelada}}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associadas</w:t>
            </w:r>
          </w:p>
        </w:tc>
        <w:tc>
          <w:tcPr/>
          <w:p>
            <w:pPr>
              <w:pStyle w:val="Compact"/>
            </w:pPr>
            <w:r>
              <w:t xml:space="preserve">RN-02, RN-05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  <w:r>
              <w:t xml:space="preserve"> </w:t>
            </w:r>
            <w:r>
              <w:t xml:space="preserve">(agregado) · tabela</w:t>
            </w:r>
            <w:r>
              <w:t xml:space="preserve"> </w:t>
            </w:r>
            <w:r>
              <w:rPr>
                <w:rStyle w:val="VerbatimChar"/>
              </w:rPr>
              <w:t xml:space="preserve">encomendas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 do conceito</w:t>
            </w:r>
          </w:p>
        </w:tc>
        <w:tc>
          <w:tcPr/>
          <w:p>
            <w:pPr>
              <w:pStyle w:val="Compact"/>
            </w:pPr>
            <w:r>
              <w:t xml:space="preserve">{{Departamento Comercial}}</w:t>
            </w:r>
          </w:p>
        </w:tc>
      </w:tr>
    </w:tbl>
    <w:bookmarkEnd w:id="49"/>
    <w:bookmarkStart w:id="50" w:name="cliente"/>
    <w:p>
      <w:pPr>
        <w:pStyle w:val="Heading3"/>
      </w:pPr>
      <w:r>
        <w:t xml:space="preserve">{{Cliente}}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confundir com</w:t>
            </w:r>
          </w:p>
        </w:tc>
        <w:tc>
          <w:tcPr/>
          <w:p>
            <w:pPr>
              <w:pStyle w:val="Compact"/>
            </w:pPr>
            <w:r>
              <w:t xml:space="preserve">{{Utilizador (quem acede ao sistema) — um cliente pode ter vários utilizadores}}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termos-ambíguos-resolvidos"/>
    <w:p>
      <w:pPr>
        <w:pStyle w:val="Heading2"/>
      </w:pPr>
      <w:r>
        <w:t xml:space="preserve">Termos ambíguos resolvidos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Usado por</w:t>
            </w:r>
          </w:p>
        </w:tc>
        <w:tc>
          <w:tcPr/>
          <w:p>
            <w:pPr>
              <w:pStyle w:val="Compact"/>
            </w:pPr>
            <w:r>
              <w:t xml:space="preserve">Significado A</w:t>
            </w:r>
          </w:p>
        </w:tc>
        <w:tc>
          <w:tcPr/>
          <w:p>
            <w:pPr>
              <w:pStyle w:val="Compact"/>
            </w:pPr>
            <w:r>
              <w:t xml:space="preserve">Significado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“Fecho”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{{Contabilidade}}</w:t>
            </w:r>
          </w:p>
        </w:tc>
        <w:tc>
          <w:tcPr/>
          <w:p>
            <w:pPr>
              <w:pStyle w:val="Compact"/>
            </w:pPr>
            <w:r>
              <w:t xml:space="preserve">{{Fecho contabilístico mensal}}</w:t>
            </w:r>
          </w:p>
        </w:tc>
        <w:tc>
          <w:tcPr/>
          <w:p>
            <w:pPr>
              <w:pStyle w:val="Compact"/>
            </w:pPr>
            <w:r>
              <w:t xml:space="preserve">{{Conclusão de uma encomenda}}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“Fecho contabilístico”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“Conclusão de encomenda”</w:t>
            </w:r>
            <w:r>
              <w:t xml:space="preserve"> </w:t>
            </w:r>
            <w:r>
              <w:t xml:space="preserve">— nunca só</w:t>
            </w:r>
            <w:r>
              <w:t xml:space="preserve"> </w:t>
            </w:r>
            <w:r>
              <w:t xml:space="preserve">“fecho”</w:t>
            </w:r>
            <w:r>
              <w:t xml:space="preserve">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crónimos"/>
    <w:p>
      <w:pPr>
        <w:pStyle w:val="Heading2"/>
      </w:pPr>
      <w:r>
        <w:t xml:space="preserve">Acrónimos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Acrónimo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Service Level Objective</w:t>
            </w:r>
          </w:p>
        </w:tc>
        <w:tc>
          <w:tcPr/>
          <w:p>
            <w:pPr>
              <w:pStyle w:val="Compact"/>
            </w:pPr>
            <w:r>
              <w:t xml:space="preserve">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{{Enterprise Resource Planning — sistema {{X}}}}</w:t>
            </w:r>
          </w:p>
        </w:tc>
        <w:tc>
          <w:tcPr/>
          <w:p>
            <w:pPr>
              <w:pStyle w:val="Compact"/>
            </w:pPr>
            <w:r>
              <w:t xml:space="preserve">{{Integração}}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78a09a2816256bc9d4116696c5353cfdb675c7e"/>
    <w:p>
      <w:pPr>
        <w:pStyle w:val="Heading2"/>
      </w:pPr>
      <w:r>
        <w:t xml:space="preserve">Termos técnicos com significado específico neste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 aqui</w:t>
            </w:r>
          </w:p>
        </w:tc>
        <w:tc>
          <w:tcPr/>
          <w:p>
            <w:pPr>
              <w:pStyle w:val="Compac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“Ativo”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{{Utilizador com sessão nos últimos 30 dias}}</w:t>
            </w:r>
          </w:p>
        </w:tc>
        <w:tc>
          <w:tcPr/>
          <w:p>
            <w:pPr>
              <w:pStyle w:val="Compact"/>
            </w:pPr>
            <w:r>
              <w:t xml:space="preserve">{{Não é o mesmo que</w:t>
            </w:r>
            <w:r>
              <w:t xml:space="preserve"> </w:t>
            </w:r>
            <w:r>
              <w:t xml:space="preserve">“não eliminado”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“Tenant”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{{Organização cliente com dados isolados}}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contextos-delimitados-bounded-contexts"/>
    <w:p>
      <w:pPr>
        <w:pStyle w:val="Heading2"/>
      </w:pPr>
      <w:r>
        <w:t xml:space="preserve">Contextos delimitados (Bounded Contexts)</w:t>
      </w:r>
    </w:p>
    <w:p>
      <w:pPr>
        <w:pStyle w:val="BlockText"/>
      </w:pPr>
      <w:r>
        <w:t xml:space="preserve">O mesmo termo pode legitimamente significar coisas diferentes em contextos diferentes. Documenta-o em vez de forçar uma definição única.</w:t>
      </w:r>
    </w:p>
    <w:p>
      <w:pPr>
        <w:pStyle w:val="FirstParagraph"/>
      </w:pPr>
      <w:r>
        <w:drawing>
          <wp:inline>
            <wp:extent cx="6191999" cy="94521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out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945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Mapeamento entre contextos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Vendas</w:t>
            </w:r>
          </w:p>
        </w:tc>
        <w:tc>
          <w:tcPr/>
          <w:p>
            <w:pPr>
              <w:pStyle w:val="Compact"/>
            </w:pPr>
            <w:r>
              <w:t xml:space="preserve">{{Lead qualificado ou comprador}}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entidade_fiscal_id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Faturação</w:t>
            </w:r>
          </w:p>
        </w:tc>
        <w:tc>
          <w:tcPr/>
          <w:p>
            <w:pPr>
              <w:pStyle w:val="Compact"/>
            </w:pPr>
            <w:r>
              <w:t xml:space="preserve">{{Entidade com NIF}}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 e Linguagem Ubíqua — {{PROJETO}}</dc:title>
  <dc:creator/>
  <dc:language>pt-PT</dc:language>
  <cp:keywords/>
  <dcterms:created xsi:type="dcterms:W3CDTF">2026-08-24T15:59:05Z</dcterms:created>
  <dcterms:modified xsi:type="dcterms:W3CDTF">2026-08-24T15:59:05Z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