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Regras de Negócio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Uma regra de negócio existe</w:t>
      </w:r>
      <w:r>
        <w:t xml:space="preserve"> </w:t>
      </w:r>
      <w:r>
        <w:rPr>
          <w:b/>
          <w:bCs/>
        </w:rPr>
        <w:t xml:space="preserve">independentemente do software</w:t>
      </w:r>
      <w:r>
        <w:t xml:space="preserve">.</w:t>
      </w:r>
      <w:r>
        <w:t xml:space="preserve"> </w:t>
      </w:r>
      <w:r>
        <w:t xml:space="preserve">“O desconto máximo é 20%”</w:t>
      </w:r>
      <w:r>
        <w:t xml:space="preserve"> </w:t>
      </w:r>
      <w:r>
        <w:t xml:space="preserve">é regra de negócio;</w:t>
      </w:r>
      <w:r>
        <w:t xml:space="preserve"> </w:t>
      </w:r>
      <w:r>
        <w:t xml:space="preserve">“o campo desconto é um input numérico”</w:t>
      </w:r>
      <w:r>
        <w:t xml:space="preserve"> </w:t>
      </w:r>
      <w:r>
        <w:t xml:space="preserve">é requisito de interface.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Dono do catálogo: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Última revisão:</w:t>
      </w:r>
      <w:r>
        <w:t xml:space="preserve"> </w:t>
      </w:r>
      <w:r>
        <w:t xml:space="preserve">{{data}}</w:t>
      </w:r>
    </w:p>
    <w:p>
      <w:r>
        <w:pict>
          <v:rect style="width:0;height:1.5pt" o:hralign="center" o:hrstd="t" o:hr="t"/>
        </w:pict>
      </w:r>
    </w:p>
    <w:bookmarkStart w:id="49" w:name="tipos-de-regra"/>
    <w:p>
      <w:pPr>
        <w:pStyle w:val="Heading2"/>
      </w:pPr>
      <w:r>
        <w:t xml:space="preserve">Tipos de regra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 / termo</w:t>
            </w:r>
          </w:p>
        </w:tc>
        <w:tc>
          <w:tcPr/>
          <w:p>
            <w:pPr>
              <w:pStyle w:val="Compact"/>
            </w:pPr>
            <w:r>
              <w:t xml:space="preserve">Define um conceito</w:t>
            </w:r>
          </w:p>
        </w:tc>
        <w:tc>
          <w:tcPr/>
          <w:p>
            <w:pPr>
              <w:pStyle w:val="Compact"/>
            </w:pPr>
            <w:r>
              <w:t xml:space="preserve">Uma encomenda tem sempre um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Limita estados ou ações</w:t>
            </w:r>
          </w:p>
        </w:tc>
        <w:tc>
          <w:tcPr/>
          <w:p>
            <w:pPr>
              <w:pStyle w:val="Compact"/>
            </w:pPr>
            <w:r>
              <w:t xml:space="preserve">Não se cancela uma encomenda expedida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Derivação / cálculo</w:t>
            </w:r>
          </w:p>
        </w:tc>
        <w:tc>
          <w:tcPr/>
          <w:p>
            <w:pPr>
              <w:pStyle w:val="Compact"/>
            </w:pPr>
            <w:r>
              <w:t xml:space="preserve">Deriva um valor</w:t>
            </w:r>
          </w:p>
        </w:tc>
        <w:tc>
          <w:tcPr/>
          <w:p>
            <w:pPr>
              <w:pStyle w:val="Compact"/>
            </w:pPr>
            <w:r>
              <w:t xml:space="preserve">Total = Σ(subtotais) + IVA − desconto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Inferência</w:t>
            </w:r>
          </w:p>
        </w:tc>
        <w:tc>
          <w:tcPr/>
          <w:p>
            <w:pPr>
              <w:pStyle w:val="Compact"/>
            </w:pPr>
            <w:r>
              <w:t xml:space="preserve">Conclui um facto</w:t>
            </w:r>
          </w:p>
        </w:tc>
        <w:tc>
          <w:tcPr/>
          <w:p>
            <w:pPr>
              <w:pStyle w:val="Compact"/>
            </w:pPr>
            <w:r>
              <w:t xml:space="preserve">Cliente com 3 faturas vencidas é</w:t>
            </w:r>
            <w:r>
              <w:t xml:space="preserve"> </w:t>
            </w:r>
            <w:r>
              <w:t xml:space="preserve">“Cliente em risco”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Acionamento (ECA)</w:t>
            </w:r>
          </w:p>
        </w:tc>
        <w:tc>
          <w:tcPr/>
          <w:p>
            <w:pPr>
              <w:pStyle w:val="Compact"/>
            </w:pPr>
            <w:r>
              <w:t xml:space="preserve">Quando X, faz Y</w:t>
            </w:r>
          </w:p>
        </w:tc>
        <w:tc>
          <w:tcPr/>
          <w:p>
            <w:pPr>
              <w:pStyle w:val="Compact"/>
            </w:pPr>
            <w:r>
              <w:t xml:space="preserve">Quando o stock desce de 10, notificar compras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Autorização</w:t>
            </w:r>
          </w:p>
        </w:tc>
        <w:tc>
          <w:tcPr/>
          <w:p>
            <w:pPr>
              <w:pStyle w:val="Compact"/>
            </w:pPr>
            <w:r>
              <w:t xml:space="preserve">Quem pode o quê</w:t>
            </w:r>
          </w:p>
        </w:tc>
        <w:tc>
          <w:tcPr/>
          <w:p>
            <w:pPr>
              <w:pStyle w:val="Compact"/>
            </w:pPr>
            <w:r>
              <w:t xml:space="preserve">Só o gestor aprova acima de 5000 €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5" w:name="catálogo"/>
    <w:p>
      <w:pPr>
        <w:pStyle w:val="Heading2"/>
      </w:pPr>
      <w:r>
        <w:t xml:space="preserve">Catálogo</w:t>
      </w:r>
    </w:p>
    <w:bookmarkStart w:id="50" w:name="X4e1868665209f69ba8db6760b176da315d3471e"/>
    <w:p>
      <w:pPr>
        <w:pStyle w:val="Heading3"/>
      </w:pPr>
      <w:r>
        <w:t xml:space="preserve">RN-01 — {{Bloqueio por tentativas de autenticação}}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{{Política de Segurança da Informação v3, §4.2}}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{{Responsável de Segurança}}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vigor desde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RF-01, RNF-13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Casos de uso</w:t>
            </w:r>
          </w:p>
        </w:tc>
        <w:tc>
          <w:tcPr/>
          <w:p>
            <w:pPr>
              <w:pStyle w:val="Compact"/>
            </w:pPr>
            <w:r>
              <w:t xml:space="preserve">UC-01 (E2)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Enunciado</w:t>
      </w:r>
      <w:r>
        <w:t xml:space="preserve"> </w:t>
      </w:r>
      <w:r>
        <w:t xml:space="preserve">&gt; Uma conta DEVE ser bloqueada durante</w:t>
      </w:r>
      <w:r>
        <w:t xml:space="preserve"> </w:t>
      </w:r>
      <w:r>
        <w:rPr>
          <w:b/>
          <w:bCs/>
        </w:rPr>
        <w:t xml:space="preserve">15 minutos</w:t>
      </w:r>
      <w:r>
        <w:t xml:space="preserve"> </w:t>
      </w:r>
      <w:r>
        <w:t xml:space="preserve">após</w:t>
      </w:r>
      <w:r>
        <w:t xml:space="preserve"> </w:t>
      </w:r>
      <w:r>
        <w:rPr>
          <w:b/>
          <w:bCs/>
        </w:rPr>
        <w:t xml:space="preserve">5 tentativas de autenticação falhadas</w:t>
      </w:r>
      <w:r>
        <w:t xml:space="preserve"> </w:t>
      </w:r>
      <w:r>
        <w:t xml:space="preserve">no espaço de</w:t>
      </w:r>
      <w:r>
        <w:t xml:space="preserve"> </w:t>
      </w:r>
      <w:r>
        <w:rPr>
          <w:b/>
          <w:bCs/>
        </w:rPr>
        <w:t xml:space="preserve">15 minutos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Parâmetros configuráveis</w:t>
      </w:r>
      <w:r>
        <w:t xml:space="preserve"> </w:t>
      </w:r>
      <w:r>
        <w:t xml:space="preserve">| Parâmetro | Valor atual | Intervalo permitido | Quem altera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max_tentativas</w:t>
      </w:r>
      <w:r>
        <w:t xml:space="preserve"> </w:t>
      </w:r>
      <w:r>
        <w:t xml:space="preserve">| 5 | 3–10 | Responsável de Segurança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janela_minutos</w:t>
      </w:r>
      <w:r>
        <w:t xml:space="preserve"> </w:t>
      </w:r>
      <w:r>
        <w:t xml:space="preserve">| 15 | 5–60 | Responsável de Segurança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bloqueio_minutos</w:t>
      </w:r>
      <w:r>
        <w:t xml:space="preserve"> </w:t>
      </w:r>
      <w:r>
        <w:t xml:space="preserve">| 15 | 5–1440 | Responsável de Segurança |</w:t>
      </w:r>
    </w:p>
    <w:p>
      <w:pPr>
        <w:pStyle w:val="BodyText"/>
      </w:pPr>
      <w:r>
        <w:rPr>
          <w:b/>
          <w:bCs/>
        </w:rPr>
        <w:t xml:space="preserve">Exceções</w:t>
      </w:r>
      <w:r>
        <w:t xml:space="preserve"> </w:t>
      </w:r>
      <w:r>
        <w:t xml:space="preserve">| Exceção | Condição | Autorizada por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{{Contas de serviço}} | {{Usam chave de API, não palavra-passe}} | {{Arquiteto}} |</w:t>
      </w:r>
    </w:p>
    <w:p>
      <w:pPr>
        <w:pStyle w:val="BodyText"/>
      </w:pPr>
      <w:r>
        <w:rPr>
          <w:b/>
          <w:bCs/>
        </w:rPr>
        <w:t xml:space="preserve">Como se verifica:</w:t>
      </w:r>
      <w:r>
        <w:t xml:space="preserve"> </w:t>
      </w:r>
      <w:r>
        <w:t xml:space="preserve">TC-003</w:t>
      </w:r>
      <w:r>
        <w:t xml:space="preserve"> </w:t>
      </w:r>
      <w:r>
        <w:rPr>
          <w:b/>
          <w:bCs/>
        </w:rPr>
        <w:t xml:space="preserve">Notas:</w:t>
      </w:r>
      <w:r>
        <w:t xml:space="preserve"> </w:t>
      </w:r>
      <w:r>
        <w:t xml:space="preserve">{{o contador é por conta, não por IP; um atacante distribuído exige controlo adicional (RNF-16)}}</w:t>
      </w:r>
    </w:p>
    <w:p>
      <w:r>
        <w:pict>
          <v:rect style="width:0;height:1.5pt" o:hralign="center" o:hrstd="t" o:hr="t"/>
        </w:pict>
      </w:r>
    </w:p>
    <w:bookmarkEnd w:id="50"/>
    <w:bookmarkStart w:id="52" w:name="rn-02-limite-de-aprovação-por-valor"/>
    <w:p>
      <w:pPr>
        <w:pStyle w:val="Heading3"/>
      </w:pPr>
      <w:r>
        <w:t xml:space="preserve">RN-02 — {{Limite de aprovação por valor}}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Autorização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Financeira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{{Delegação de competências, Ata da Direção {{data}}}}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{{Direção Financeira}}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Enunciado</w:t>
      </w:r>
      <w:r>
        <w:t xml:space="preserve"> </w:t>
      </w:r>
      <w:r>
        <w:t xml:space="preserve">&gt; Uma encomenda de valor</w:t>
      </w:r>
      <w:r>
        <w:t xml:space="preserve"> </w:t>
      </w:r>
      <w:r>
        <w:rPr>
          <w:b/>
          <w:bCs/>
        </w:rPr>
        <w:t xml:space="preserve">superior a 5 000 €</w:t>
      </w:r>
      <w:r>
        <w:t xml:space="preserve"> </w:t>
      </w:r>
      <w:r>
        <w:t xml:space="preserve">(sem IVA) DEVE ser aprovada por um utilizador com o papel</w:t>
      </w:r>
      <w:r>
        <w:t xml:space="preserve"> </w:t>
      </w:r>
      <w:r>
        <w:rPr>
          <w:b/>
          <w:bCs/>
        </w:rPr>
        <w:t xml:space="preserve">Gestor</w:t>
      </w:r>
      <w:r>
        <w:t xml:space="preserve"> </w:t>
      </w:r>
      <w:r>
        <w:t xml:space="preserve">ou superior antes de passar ao estado</w:t>
      </w:r>
      <w:r>
        <w:t xml:space="preserve"> </w:t>
      </w:r>
      <w:r>
        <w:rPr>
          <w:i/>
          <w:iCs/>
        </w:rPr>
        <w:t xml:space="preserve">Aprovada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Tabela de decisão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 (€)</w:t>
            </w:r>
          </w:p>
        </w:tc>
        <w:tc>
          <w:tcPr/>
          <w:p>
            <w:pPr>
              <w:pStyle w:val="Compact"/>
            </w:pPr>
            <w:r>
              <w:t xml:space="preserve">Cliente em risco?</w:t>
            </w:r>
          </w:p>
        </w:tc>
        <w:tc>
          <w:tcPr/>
          <w:p>
            <w:pPr>
              <w:pStyle w:val="Compact"/>
            </w:pPr>
            <w:r>
              <w:t xml:space="preserve">Papel necessário</w:t>
            </w:r>
          </w:p>
        </w:tc>
        <w:tc>
          <w:tcPr/>
          <w:p>
            <w:pPr>
              <w:pStyle w:val="Compact"/>
            </w:pPr>
            <w:r>
              <w:t xml:space="preserve">Prazo de aprovação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1 000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1 000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1 001 – 5 000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1 001 – 5 000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5 001 – 25 000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25 000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Diretor</w:t>
            </w:r>
          </w:p>
        </w:tc>
        <w:tc>
          <w:tcPr/>
          <w:p>
            <w:pPr>
              <w:pStyle w:val="Compact"/>
            </w:pPr>
            <w:r>
              <w:t xml:space="preserve">72 h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Comportamento no fim do prazo:</w:t>
      </w:r>
      <w:r>
        <w:t xml:space="preserve"> </w:t>
      </w:r>
      <w:r>
        <w:t xml:space="preserve">a encomenda transita para</w:t>
      </w:r>
      <w:r>
        <w:t xml:space="preserve"> </w:t>
      </w:r>
      <w:r>
        <w:rPr>
          <w:i/>
          <w:iCs/>
        </w:rPr>
        <w:t xml:space="preserve">Rejeitada</w:t>
      </w:r>
      <w:r>
        <w:t xml:space="preserve"> </w:t>
      </w:r>
      <w:r>
        <w:t xml:space="preserve">e o cliente é notificado (ver</w:t>
      </w:r>
      <w:r>
        <w:t xml:space="preserve"> </w:t>
      </w:r>
      <w:hyperlink r:id="rId51">
        <w:r>
          <w:rPr>
            <w:rStyle w:val="Hyperlink"/>
          </w:rPr>
          <w:t xml:space="preserve">Diagrama de estados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52"/>
    <w:bookmarkStart w:id="53" w:name="rn-03-cálculo-do-total-da-encomenda"/>
    <w:p>
      <w:pPr>
        <w:pStyle w:val="Heading3"/>
      </w:pPr>
      <w:r>
        <w:t xml:space="preserve">RN-03 — {{Cálculo do total da encomenda}}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Financeira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Ativa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Enunciado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subtotal_linha = quantidade × preço_unitário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subtotal = Σ subtotal_linha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desconto = subtotal × taxa_desconto</w:t>
      </w:r>
      <w:r>
        <w:t xml:space="preserve"> </w:t>
      </w:r>
      <w:r>
        <w:rPr>
          <w:i/>
          <w:iCs/>
        </w:rPr>
        <w:t xml:space="preserve">(taxa_desconto conforme RN-04)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base_tributável = subtotal − desconto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iva = base_tributável × taxa_iva</w:t>
      </w:r>
      <w:r>
        <w:t xml:space="preserve"> </w:t>
      </w:r>
      <w:r>
        <w:rPr>
          <w:i/>
          <w:iCs/>
        </w:rPr>
        <w:t xml:space="preserve">(taxa conforme país de entrega)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total = base_tributável + iva + portes</w:t>
      </w:r>
    </w:p>
    <w:p>
      <w:pPr>
        <w:pStyle w:val="BodyText"/>
      </w:pPr>
      <w:r>
        <w:rPr>
          <w:b/>
          <w:bCs/>
        </w:rPr>
        <w:t xml:space="preserve">Regras de arredondamento</w:t>
      </w:r>
      <w:r>
        <w:t xml:space="preserve"> </w:t>
      </w:r>
      <w:r>
        <w:t xml:space="preserve">- Arredondar a</w:t>
      </w:r>
      <w:r>
        <w:t xml:space="preserve"> </w:t>
      </w:r>
      <w:r>
        <w:rPr>
          <w:b/>
          <w:bCs/>
        </w:rPr>
        <w:t xml:space="preserve">2 casas decimais</w:t>
      </w:r>
      <w:r>
        <w:t xml:space="preserve">, meio para cima (</w:t>
      </w:r>
      <w:r>
        <w:rPr>
          <w:rStyle w:val="VerbatimChar"/>
        </w:rPr>
        <w:t xml:space="preserve">HALF_UP</w:t>
      </w:r>
      <w:r>
        <w:t xml:space="preserve">),</w:t>
      </w:r>
      <w:r>
        <w:t xml:space="preserve"> </w:t>
      </w:r>
      <w:r>
        <w:rPr>
          <w:b/>
          <w:bCs/>
        </w:rPr>
        <w:t xml:space="preserve">no fim de cada operação monetária</w:t>
      </w:r>
      <w:r>
        <w:t xml:space="preserve">.</w:t>
      </w:r>
      <w:r>
        <w:t xml:space="preserve"> </w:t>
      </w:r>
      <w:r>
        <w:t xml:space="preserve">- Nunca usar vírgula flutuante binária para dinheiro — usar decimal de precisão fixa ou inteiros em cêntimos.</w:t>
      </w:r>
    </w:p>
    <w:p>
      <w:pPr>
        <w:pStyle w:val="BodyText"/>
      </w:pPr>
      <w:r>
        <w:rPr>
          <w:b/>
          <w:bCs/>
        </w:rPr>
        <w:t xml:space="preserve">Exemplos verificáveis</w:t>
      </w:r>
      <w:r>
        <w:t xml:space="preserve"> </w:t>
      </w:r>
      <w:r>
        <w:t xml:space="preserve">| Linhas | Desconto | IVA | Portes | Total esperado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3 × 10,00 | 0% | 23% | 5,00 | 41,90 |</w:t>
      </w:r>
      <w:r>
        <w:t xml:space="preserve"> </w:t>
      </w:r>
      <w:r>
        <w:t xml:space="preserve">| 2 × 33,33 | 10% | 23% | 0,00 | 73,80 |</w:t>
      </w:r>
    </w:p>
    <w:p>
      <w:r>
        <w:pict>
          <v:rect style="width:0;height:1.5pt" o:hralign="center" o:hrstd="t" o:hr="t"/>
        </w:pict>
      </w:r>
    </w:p>
    <w:bookmarkEnd w:id="53"/>
    <w:bookmarkStart w:id="54" w:name="rn-04"/>
    <w:p>
      <w:pPr>
        <w:pStyle w:val="Heading3"/>
      </w:pPr>
      <w:r>
        <w:t xml:space="preserve">RN-04 — {{…}}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gras-revogadas"/>
    <w:p>
      <w:pPr>
        <w:pStyle w:val="Heading2"/>
      </w:pPr>
      <w:r>
        <w:t xml:space="preserve">Regras revogadas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Enunciado</w:t>
            </w:r>
          </w:p>
        </w:tc>
        <w:tc>
          <w:tcPr/>
          <w:p>
            <w:pPr>
              <w:pStyle w:val="Compact"/>
            </w:pPr>
            <w:r>
              <w:t xml:space="preserve">Revogada em</w:t>
            </w:r>
          </w:p>
        </w:tc>
        <w:tc>
          <w:tcPr/>
          <w:p>
            <w:pPr>
              <w:pStyle w:val="Compact"/>
            </w:pPr>
            <w:r>
              <w:t xml:space="preserve">Substituída por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RN-99</w:t>
            </w:r>
          </w:p>
        </w:tc>
        <w:tc>
          <w:tcPr/>
          <w:p>
            <w:pPr>
              <w:pStyle w:val="Compact"/>
            </w:pPr>
            <w:r>
              <w:t xml:space="preserve">{{Desconto fixo de 5% para todos}}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RN-04</w:t>
            </w:r>
          </w:p>
        </w:tc>
        <w:tc>
          <w:tcPr/>
          <w:p>
            <w:pPr>
              <w:pStyle w:val="Compact"/>
            </w:pPr>
            <w:r>
              <w:t xml:space="preserve">{{Nova política comercial}}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matriz-regra-componente"/>
    <w:p>
      <w:pPr>
        <w:pStyle w:val="Heading2"/>
      </w:pPr>
      <w:r>
        <w:t xml:space="preserve">Matriz Regra × Componente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Onde é aplicada</w:t>
            </w:r>
          </w:p>
        </w:tc>
        <w:tc>
          <w:tcPr/>
          <w:p>
            <w:pPr>
              <w:pStyle w:val="Compact"/>
            </w:pPr>
            <w:r>
              <w:t xml:space="preserve">Duplicada?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orders-service/approval.ts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orders-service/pricing.ts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web/cart.ts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{{Divergência de arredondamento — DT-04}}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Princípio:</w:t>
      </w:r>
      <w:r>
        <w:t xml:space="preserve"> </w:t>
      </w:r>
      <w:r>
        <w:t xml:space="preserve">cada regra deve ter</w:t>
      </w:r>
      <w:r>
        <w:t xml:space="preserve"> </w:t>
      </w:r>
      <w:r>
        <w:rPr>
          <w:b/>
          <w:bCs/>
        </w:rPr>
        <w:t xml:space="preserve">um único ponto de verdade</w:t>
      </w:r>
      <w:r>
        <w:t xml:space="preserve">. Duplicação em cliente para UX é aceitável desde que o servidor seja a autoridade e o teste garanta a paridade.</w:t>
      </w:r>
    </w:p>
    <w:bookmarkEnd w:id="57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1" Target="03-fluxos-processo.md#4-diagrama-de-estados--ciclo-de-vida-de-uma-entida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03-fluxos-processo.md#4-diagrama-de-estados--ciclo-de-vida-de-uma-entida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de Negócio — {{PROJETO}}</dc:title>
  <dc:creator/>
  <dc:language>pt-PT</dc:language>
  <cp:keywords/>
  <dcterms:created xsi:type="dcterms:W3CDTF">2026-08-24T15:59:12Z</dcterms:created>
  <dcterms:modified xsi:type="dcterms:W3CDTF">2026-08-24T15:59:12Z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