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55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 de Domínio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Modelo</w:t>
      </w:r>
      <w:r>
        <w:t xml:space="preserve"> </w:t>
      </w:r>
      <w:r>
        <w:rPr>
          <w:b/>
          <w:bCs/>
        </w:rPr>
        <w:t xml:space="preserve">conceptual</w:t>
      </w:r>
      <w:r>
        <w:t xml:space="preserve">: representa o negócio, não a base de dados nem as classes de implementação. Usa a linguagem do</w:t>
      </w:r>
      <w:r>
        <w:t xml:space="preserve"> </w:t>
      </w:r>
      <w:hyperlink r:id="rId49">
        <w:r>
          <w:rPr>
            <w:rStyle w:val="Hyperlink"/>
          </w:rPr>
          <w:t xml:space="preserve">Glossário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54" w:name="contextos-delimitados-bounded-contexts"/>
    <w:p>
      <w:pPr>
        <w:pStyle w:val="Heading2"/>
      </w:pPr>
      <w:r>
        <w:t xml:space="preserve">1. Contextos delimitados (Bounded Contexts)</w:t>
      </w:r>
    </w:p>
    <w:p>
      <w:pPr>
        <w:pStyle w:val="FirstParagraph"/>
      </w:pPr>
      <w:r>
        <w:drawing>
          <wp:inline>
            <wp:extent cx="2267999" cy="791467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999" cy="791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mapa-de-contextos"/>
    <w:p>
      <w:pPr>
        <w:pStyle w:val="Heading3"/>
      </w:pPr>
      <w:r>
        <w:t xml:space="preserve">Mapa de contextos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Relação com os outros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</w:t>
            </w:r>
          </w:p>
        </w:tc>
        <w:tc>
          <w:tcPr/>
          <w:p>
            <w:pPr>
              <w:pStyle w:val="Compact"/>
            </w:pPr>
            <w:r>
              <w:t xml:space="preserve">{{Captar e gerir encomendas}}</w:t>
            </w:r>
          </w:p>
        </w:tc>
        <w:tc>
          <w:tcPr/>
          <w:p>
            <w:pPr>
              <w:pStyle w:val="Compact"/>
            </w:pPr>
            <w:r>
              <w:t xml:space="preserve">{{Equipa A}}</w:t>
            </w:r>
          </w:p>
        </w:tc>
        <w:tc>
          <w:tcPr/>
          <w:p>
            <w:pPr>
              <w:pStyle w:val="Compact"/>
            </w:pPr>
            <w:r>
              <w:t xml:space="preserve">Upstream de Faturação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Inventário</w:t>
            </w:r>
          </w:p>
        </w:tc>
        <w:tc>
          <w:tcPr/>
          <w:p>
            <w:pPr>
              <w:pStyle w:val="Compact"/>
            </w:pPr>
            <w:r>
              <w:t xml:space="preserve">{{Disponibilidade e reservas}}</w:t>
            </w:r>
          </w:p>
        </w:tc>
        <w:tc>
          <w:tcPr/>
          <w:p>
            <w:pPr>
              <w:pStyle w:val="Compact"/>
            </w:pPr>
            <w:r>
              <w:t xml:space="preserve">{{Equipa B}}</w:t>
            </w:r>
          </w:p>
        </w:tc>
        <w:tc>
          <w:tcPr/>
          <w:p>
            <w:pPr>
              <w:pStyle w:val="Compact"/>
            </w:pPr>
            <w:r>
              <w:t xml:space="preserve">Fornecedor de Vendas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Faturação</w:t>
            </w:r>
          </w:p>
        </w:tc>
        <w:tc>
          <w:tcPr/>
          <w:p>
            <w:pPr>
              <w:pStyle w:val="Compact"/>
            </w:pPr>
            <w:r>
              <w:t xml:space="preserve">{{Documentos fiscais}}</w:t>
            </w:r>
          </w:p>
        </w:tc>
        <w:tc>
          <w:tcPr/>
          <w:p>
            <w:pPr>
              <w:pStyle w:val="Compact"/>
            </w:pPr>
            <w:r>
              <w:t xml:space="preserve">{{Equipa C}}</w:t>
            </w:r>
          </w:p>
        </w:tc>
        <w:tc>
          <w:tcPr/>
          <w:p>
            <w:pPr>
              <w:pStyle w:val="Compact"/>
            </w:pPr>
            <w:r>
              <w:t xml:space="preserve">Downstream de Vendas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Padrões de integração usados:</w:t>
      </w:r>
      <w:r>
        <w:t xml:space="preserve"> </w:t>
      </w:r>
      <w:r>
        <w:t xml:space="preserve">Cliente/Fornecedor · Conformista · Camada Anticorrupção (ACL) · Núcleo Partilhado · Serviço Aberto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modelo-conceptual-contexto-vendas"/>
    <w:p>
      <w:pPr>
        <w:pStyle w:val="Heading2"/>
      </w:pPr>
      <w:r>
        <w:t xml:space="preserve">2. Modelo conceptual — contexto {{Vendas}}</w:t>
      </w:r>
    </w:p>
    <w:p>
      <w:pPr>
        <w:pStyle w:val="FirstParagraph"/>
      </w:pPr>
      <w:r>
        <w:drawing>
          <wp:inline>
            <wp:extent cx="6191999" cy="424289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out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24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Start w:id="61" w:name="agregados"/>
    <w:p>
      <w:pPr>
        <w:pStyle w:val="Heading2"/>
      </w:pPr>
      <w:r>
        <w:t xml:space="preserve">3. Agregados</w:t>
      </w:r>
    </w:p>
    <w:bookmarkStart w:id="59" w:name="agregado-encomenda"/>
    <w:p>
      <w:pPr>
        <w:pStyle w:val="Heading3"/>
      </w:pPr>
      <w:r>
        <w:t xml:space="preserve">Agregado: Encomenda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 internas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LinhaEncomenda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Objetos de valor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Dinheiro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NumeroEncomenda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Fronteira de consistência</w:t>
            </w:r>
          </w:p>
        </w:tc>
        <w:tc>
          <w:tcPr/>
          <w:p>
            <w:pPr>
              <w:pStyle w:val="Compact"/>
            </w:pPr>
            <w:r>
              <w:t xml:space="preserve">Todas as invariantes abaixo são garantidas numa transação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Referências externas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rPr>
                <w:b/>
                <w:bCs/>
              </w:rPr>
              <w:t xml:space="preserve">por identificador</w:t>
            </w:r>
            <w:r>
              <w:t xml:space="preserve">, nunca por objeto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Invariantes (sempre verdadeiras)</w:t>
      </w:r>
      <w:r>
        <w:t xml:space="preserve"> </w:t>
      </w:r>
      <w:r>
        <w:t xml:space="preserve">1. Uma encomenda submetida tem pelo menos uma linha.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= Σ subtotais + IVA − desconto + portes (RN-03).</w:t>
      </w:r>
      <w:r>
        <w:t xml:space="preserve"> </w:t>
      </w:r>
      <w:r>
        <w:t xml:space="preserve">3. Não existem duas linhas com o mesmo SKU (agregam-se em quantidade).</w:t>
      </w:r>
      <w:r>
        <w:t xml:space="preserve"> </w:t>
      </w:r>
      <w:r>
        <w:t xml:space="preserve">4. Uma encomenda em estado terminal não muda de estado.</w:t>
      </w:r>
    </w:p>
    <w:p>
      <w:pPr>
        <w:pStyle w:val="BodyText"/>
      </w:pPr>
      <w:r>
        <w:rPr>
          <w:b/>
          <w:bCs/>
        </w:rPr>
        <w:t xml:space="preserve">Regra de tamanho:</w:t>
      </w:r>
      <w:r>
        <w:t xml:space="preserve"> </w:t>
      </w:r>
      <w:r>
        <w:t xml:space="preserve">{{uma encomenda tem tipicamente 1-20 linhas, máximo 500}} — se crescer muito, repensar a fronteira.</w:t>
      </w:r>
    </w:p>
    <w:bookmarkEnd w:id="59"/>
    <w:bookmarkStart w:id="60" w:name="agregado-cliente"/>
    <w:p>
      <w:pPr>
        <w:pStyle w:val="Heading3"/>
      </w:pPr>
      <w:r>
        <w:t xml:space="preserve">Agregado: Cliente</w:t>
      </w:r>
    </w:p>
    <w:p>
      <w:pPr>
        <w:pStyle w:val="FirstParagraph"/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objetos-de-valor"/>
    <w:p>
      <w:pPr>
        <w:pStyle w:val="Heading2"/>
      </w:pPr>
      <w:r>
        <w:t xml:space="preserve">4. Objetos de valor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Invariantes</w:t>
            </w:r>
          </w:p>
        </w:tc>
        <w:tc>
          <w:tcPr/>
          <w:p>
            <w:pPr>
              <w:pStyle w:val="Compact"/>
            </w:pPr>
            <w:r>
              <w:t xml:space="preserve">Porque não é primitivo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Dinheiro</w:t>
            </w:r>
          </w:p>
        </w:tc>
        <w:tc>
          <w:tcPr/>
          <w:p>
            <w:pPr>
              <w:pStyle w:val="Compact"/>
            </w:pPr>
            <w:r>
              <w:t xml:space="preserve">montante (decimal), moeda</w:t>
            </w:r>
          </w:p>
        </w:tc>
        <w:tc>
          <w:tcPr/>
          <w:p>
            <w:pPr>
              <w:pStyle w:val="Compact"/>
            </w:pPr>
            <w:r>
              <w:t xml:space="preserve">Moeda obrigatória; sem somar moedas diferentes</w:t>
            </w:r>
          </w:p>
        </w:tc>
        <w:tc>
          <w:tcPr/>
          <w:p>
            <w:pPr>
              <w:pStyle w:val="Compact"/>
            </w:pPr>
            <w:r>
              <w:t xml:space="preserve">Evita somar euros com dólares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NIF</w:t>
            </w:r>
          </w:p>
        </w:tc>
        <w:tc>
          <w:tcPr/>
          <w:p>
            <w:pPr>
              <w:pStyle w:val="Compact"/>
            </w:pPr>
            <w:r>
              <w:t xml:space="preserve">9 dígitos</w:t>
            </w:r>
          </w:p>
        </w:tc>
        <w:tc>
          <w:tcPr/>
          <w:p>
            <w:pPr>
              <w:pStyle w:val="Compact"/>
            </w:pPr>
            <w:r>
              <w:t xml:space="preserve">Dígito de controlo válido</w:t>
            </w:r>
          </w:p>
        </w:tc>
        <w:tc>
          <w:tcPr/>
          <w:p>
            <w:pPr>
              <w:pStyle w:val="Compact"/>
            </w:pPr>
            <w:r>
              <w:t xml:space="preserve">Valida na fronteira, não em toda a parte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string com formato</w:t>
            </w:r>
            <w:r>
              <w:t xml:space="preserve"> </w:t>
            </w:r>
            <w:r>
              <w:rPr>
                <w:rStyle w:val="VerbatimChar"/>
              </w:rPr>
              <w:t xml:space="preserve">AAA-9999</w:t>
            </w:r>
          </w:p>
        </w:tc>
        <w:tc>
          <w:tcPr/>
          <w:p>
            <w:pPr>
              <w:pStyle w:val="Compact"/>
            </w:pPr>
            <w:r>
              <w:t xml:space="preserve">Formato validado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Formato + normalização em minúsculas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eventos-de-domínio"/>
    <w:p>
      <w:pPr>
        <w:pStyle w:val="Heading2"/>
      </w:pPr>
      <w:r>
        <w:t xml:space="preserve">5. Eventos de domínio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 ocorre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Consumidores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EncomendaSubmetida</w:t>
            </w:r>
          </w:p>
        </w:tc>
        <w:tc>
          <w:tcPr/>
          <w:p>
            <w:pPr>
              <w:pStyle w:val="Compact"/>
            </w:pPr>
            <w:r>
              <w:t xml:space="preserve">Encomenda passa a Submetida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{encomendaId, clienteId, total, timestamp}</w:t>
            </w:r>
          </w:p>
        </w:tc>
        <w:tc>
          <w:tcPr/>
          <w:p>
            <w:pPr>
              <w:pStyle w:val="Compact"/>
            </w:pPr>
            <w:r>
              <w:t xml:space="preserve">Inventário (pré-reserva)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EncomendaAprovada</w:t>
            </w:r>
          </w:p>
        </w:tc>
        <w:tc>
          <w:tcPr/>
          <w:p>
            <w:pPr>
              <w:pStyle w:val="Compact"/>
            </w:pPr>
            <w:r>
              <w:t xml:space="preserve">Encomenda passa a Aprovada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{encomendaId, aprovadorId, total}</w:t>
            </w:r>
          </w:p>
        </w:tc>
        <w:tc>
          <w:tcPr/>
          <w:p>
            <w:pPr>
              <w:pStyle w:val="Compact"/>
            </w:pPr>
            <w:r>
              <w:t xml:space="preserve">Faturação, Notificações, Armazém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EncomendaCancelada</w:t>
            </w:r>
          </w:p>
        </w:tc>
        <w:tc>
          <w:tcPr/>
          <w:p>
            <w:pPr>
              <w:pStyle w:val="Compact"/>
            </w:pPr>
            <w:r>
              <w:t xml:space="preserve">Encomenda cancelada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{encomendaId, motivo, canceladaPor}</w:t>
            </w:r>
          </w:p>
        </w:tc>
        <w:tc>
          <w:tcPr/>
          <w:p>
            <w:pPr>
              <w:pStyle w:val="Compact"/>
            </w:pPr>
            <w:r>
              <w:t xml:space="preserve">Inventário (libertar), Faturação (nota de crédito)</w:t>
            </w:r>
          </w:p>
        </w:tc>
      </w:tr>
    </w:tbl>
    <w:p>
      <w:pPr>
        <w:pStyle w:val="BodyText"/>
      </w:pPr>
      <w:r>
        <w:drawing>
          <wp:inline>
            <wp:extent cx="5234399" cy="792018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out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99" cy="792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67" w:name="serviços-de-domínio"/>
    <w:p>
      <w:pPr>
        <w:pStyle w:val="Heading2"/>
      </w:pPr>
      <w:r>
        <w:t xml:space="preserve">6. Serviços de domínio</w:t>
      </w:r>
    </w:p>
    <w:p>
      <w:pPr>
        <w:pStyle w:val="BlockText"/>
      </w:pPr>
      <w:r>
        <w:t xml:space="preserve">Lógica que não pertence naturalmente a nenhuma entidade.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Porque não está numa entidade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CalculadorDePrecos</w:t>
            </w:r>
          </w:p>
        </w:tc>
        <w:tc>
          <w:tcPr/>
          <w:p>
            <w:pPr>
              <w:pStyle w:val="Compact"/>
            </w:pPr>
            <w:r>
              <w:t xml:space="preserve">{{Aplica tabelas de preço, descontos e campanhas}}</w:t>
            </w:r>
          </w:p>
        </w:tc>
        <w:tc>
          <w:tcPr/>
          <w:p>
            <w:pPr>
              <w:pStyle w:val="Compact"/>
            </w:pPr>
            <w:r>
              <w:t xml:space="preserve">{{Envolve Cliente, Produto e Campanha}}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PoliticaDeAprovacao</w:t>
            </w:r>
          </w:p>
        </w:tc>
        <w:tc>
          <w:tcPr/>
          <w:p>
            <w:pPr>
              <w:pStyle w:val="Compact"/>
            </w:pPr>
            <w:r>
              <w:t xml:space="preserve">{{Determina quem tem de aprovar (RN-02)}}</w:t>
            </w:r>
          </w:p>
        </w:tc>
        <w:tc>
          <w:tcPr/>
          <w:p>
            <w:pPr>
              <w:pStyle w:val="Compact"/>
            </w:pPr>
            <w:r>
              <w:t xml:space="preserve">{{Depende de configuração organizacional}}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9" w:name="do-modelo-de-domínio-ao-modelo-físico"/>
    <w:p>
      <w:pPr>
        <w:pStyle w:val="Heading2"/>
      </w:pPr>
      <w:r>
        <w:t xml:space="preserve">7. Do modelo de domínio ao modelo físico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 de domínio</w:t>
            </w:r>
          </w:p>
        </w:tc>
        <w:tc>
          <w:tcPr/>
          <w:p>
            <w:pPr>
              <w:pStyle w:val="Compact"/>
            </w:pPr>
            <w:r>
              <w:t xml:space="preserve">Tabela / Coleção</w:t>
            </w:r>
          </w:p>
        </w:tc>
        <w:tc>
          <w:tcPr/>
          <w:p>
            <w:pPr>
              <w:pStyle w:val="Compact"/>
            </w:pPr>
            <w:r>
              <w:t xml:space="preserve">Notas de mapeamento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</w:t>
            </w:r>
          </w:p>
        </w:tc>
        <w:tc>
          <w:tcPr/>
          <w:p>
            <w:pPr>
              <w:pStyle w:val="Compact"/>
            </w:pPr>
            <w:r>
              <w:t xml:space="preserve">Raiz;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LinhaEncomenda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linhas_encomenda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encomenda_id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Dinheiro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total_cents</w:t>
            </w:r>
            <w:r>
              <w:t xml:space="preserve"> </w:t>
            </w:r>
            <w:r>
              <w:t xml:space="preserve">(bigint) +</w:t>
            </w:r>
            <w:r>
              <w:t xml:space="preserve"> </w:t>
            </w:r>
            <w:r>
              <w:rPr>
                <w:rStyle w:val="VerbatimChar"/>
              </w:rPr>
              <w:t xml:space="preserve">moeda</w:t>
            </w:r>
            <w:r>
              <w:t xml:space="preserve"> </w:t>
            </w:r>
            <w:r>
              <w:t xml:space="preserve">(char 3)</w:t>
            </w:r>
          </w:p>
        </w:tc>
        <w:tc>
          <w:tcPr/>
          <w:p>
            <w:pPr>
              <w:pStyle w:val="Compact"/>
            </w:pPr>
            <w:r>
              <w:t xml:space="preserve">Inteiro em cêntimos, nunca 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Morada</w:t>
            </w:r>
          </w:p>
        </w:tc>
        <w:tc>
          <w:tcPr/>
          <w:p>
            <w:pPr>
              <w:pStyle w:val="Compact"/>
            </w:pPr>
            <w:r>
              <w:t xml:space="preserve">colunas embebidas</w:t>
            </w:r>
            <w:r>
              <w:t xml:space="preserve"> </w:t>
            </w:r>
            <w:r>
              <w:rPr>
                <w:rStyle w:val="VerbatimChar"/>
              </w:rPr>
              <w:t xml:space="preserve">entrega_rua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entrega_cp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Objeto de valor, sem tabela própria</w:t>
            </w:r>
          </w:p>
        </w:tc>
      </w:tr>
    </w:tbl>
    <w:p>
      <w:pPr>
        <w:pStyle w:val="BlockText"/>
      </w:pPr>
      <w:r>
        <w:t xml:space="preserve">Modelo físico completo:</w:t>
      </w:r>
      <w:r>
        <w:t xml:space="preserve"> </w:t>
      </w:r>
      <w:hyperlink r:id="rId68">
        <w:r>
          <w:rPr>
            <w:rStyle w:val="Hyperlink"/>
          </w:rPr>
          <w:t xml:space="preserve">Modelo de Dados</w:t>
        </w:r>
      </w:hyperlink>
    </w:p>
    <w:bookmarkEnd w:id="6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hyperlink" Id="rId49" Target="../01-requisitos/06-glossario.md" TargetMode="External" /><Relationship Type="http://schemas.openxmlformats.org/officeDocument/2006/relationships/hyperlink" Id="rId68" Target="../03-arquitetura/03-modelo-da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1-requisitos/06-glossario.md" TargetMode="External" /><Relationship Type="http://schemas.openxmlformats.org/officeDocument/2006/relationships/hyperlink" Id="rId68" Target="../03-arquitetura/03-modelo-da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Domínio — {{PROJETO}}</dc:title>
  <dc:creator/>
  <dc:language>pt-PT</dc:language>
  <cp:keywords/>
  <dcterms:created xsi:type="dcterms:W3CDTF">2026-08-24T15:59:13Z</dcterms:created>
  <dcterms:modified xsi:type="dcterms:W3CDTF">2026-08-24T15:59:13Z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