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Internacionalização e Localização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Internacionalizar é preparar o produto para outra língua e outra região.</w:t>
      </w:r>
      <w:r>
        <w:t xml:space="preserve"> </w:t>
      </w:r>
      <w:r>
        <w:t xml:space="preserve">Localizar é fazê-lo para uma em concreto. A primeira é uma decisão de arquitetura</w:t>
      </w:r>
      <w:r>
        <w:t xml:space="preserve"> </w:t>
      </w:r>
      <w:r>
        <w:t xml:space="preserve">e faz-se cedo; a segunda é trabalho de conteúdo e repete-se por cada mercado.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Idiomas suportados</w:t>
            </w:r>
          </w:p>
        </w:tc>
        <w:tc>
          <w:tcPr/>
          <w:p>
            <w:pPr>
              <w:pStyle w:val="Compact"/>
            </w:pPr>
            <w:r>
              <w:t xml:space="preserve">{{pt-PT (base)}}, {{en}}, {{es}}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Idioma de origem das chaves</w:t>
            </w:r>
          </w:p>
        </w:tc>
        <w:tc>
          <w:tcPr/>
          <w:p>
            <w:pPr>
              <w:pStyle w:val="Compact"/>
            </w:pPr>
            <w:r>
              <w:t xml:space="preserve">{{pt-PT}}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</w:pPr>
            <w:r>
              <w:t xml:space="preserve">{{UX}} · {{Tech lead}}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Última revisão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9" w:name="decidir-agora-mesmo-com-um-só-idioma"/>
    <w:p>
      <w:pPr>
        <w:pStyle w:val="Heading2"/>
      </w:pPr>
      <w:r>
        <w:t xml:space="preserve">1. Decidir agora, mesmo com um só idioma</w:t>
      </w:r>
    </w:p>
    <w:p>
      <w:pPr>
        <w:pStyle w:val="FirstParagraph"/>
      </w:pPr>
      <w:r>
        <w:t xml:space="preserve">Estas escolhas custam pouco no início e muito depois de haver ecrãs feitos:</w:t>
      </w:r>
    </w:p>
    <w:p>
      <w:pPr>
        <w:pStyle w:val="Compact"/>
        <w:numPr>
          <w:ilvl w:val="0"/>
          <w:numId w:val="1001"/>
        </w:numPr>
      </w:pPr>
      <w:r>
        <w:t xml:space="preserve">Nenhum texto visível está escrito no código — tudo vem de ficheiros de tradução</w:t>
      </w:r>
    </w:p>
    <w:p>
      <w:pPr>
        <w:pStyle w:val="Compact"/>
        <w:numPr>
          <w:ilvl w:val="0"/>
          <w:numId w:val="1002"/>
        </w:numPr>
      </w:pPr>
      <w:r>
        <w:t xml:space="preserve">Datas, horas, números e moeda formatados por biblioteca, nunca à mão</w:t>
      </w:r>
    </w:p>
    <w:p>
      <w:pPr>
        <w:pStyle w:val="Compact"/>
        <w:numPr>
          <w:ilvl w:val="0"/>
          <w:numId w:val="1003"/>
        </w:numPr>
      </w:pPr>
      <w:r>
        <w:t xml:space="preserve">Tudo em UTF-8, da base de dados ao HTML</w:t>
      </w:r>
    </w:p>
    <w:p>
      <w:pPr>
        <w:pStyle w:val="Compact"/>
        <w:numPr>
          <w:ilvl w:val="0"/>
          <w:numId w:val="1004"/>
        </w:numPr>
      </w:pPr>
      <w:r>
        <w:t xml:space="preserve">Datas guardadas em UTC; conversão só na apresentação</w:t>
      </w:r>
    </w:p>
    <w:p>
      <w:pPr>
        <w:pStyle w:val="Compact"/>
        <w:numPr>
          <w:ilvl w:val="0"/>
          <w:numId w:val="1005"/>
        </w:numPr>
      </w:pPr>
      <w:r>
        <w:t xml:space="preserve">Campos de texto na base de dados com folga de {{30 %}} — traduções crescem</w:t>
      </w:r>
    </w:p>
    <w:p>
      <w:pPr>
        <w:pStyle w:val="Compact"/>
        <w:numPr>
          <w:ilvl w:val="0"/>
          <w:numId w:val="1006"/>
        </w:numPr>
      </w:pPr>
      <w:r>
        <w:t xml:space="preserve">Interface que aguenta textos {{30 %}} mais longos sem partir</w:t>
      </w:r>
    </w:p>
    <w:p>
      <w:pPr>
        <w:pStyle w:val="Compact"/>
        <w:numPr>
          <w:ilvl w:val="0"/>
          <w:numId w:val="1007"/>
        </w:numPr>
      </w:pPr>
      <w:r>
        <w:t xml:space="preserve">Sem frases construídas por concatenação</w:t>
      </w:r>
    </w:p>
    <w:p>
      <w:pPr>
        <w:pStyle w:val="BlockText"/>
      </w:pPr>
      <w:r>
        <w:rPr>
          <w:b/>
          <w:bCs/>
        </w:rPr>
        <w:t xml:space="preserve">A concatenação é o erro estrutural.</w:t>
      </w:r>
      <w:r>
        <w:t xml:space="preserve"> </w:t>
      </w:r>
      <w:r>
        <w:rPr>
          <w:rStyle w:val="VerbatimChar"/>
        </w:rPr>
        <w:t xml:space="preserve">"Encontrados " + n + " resultados"</w:t>
      </w:r>
      <w:r>
        <w:t xml:space="preserve"> </w:t>
      </w:r>
      <w:r>
        <w:t xml:space="preserve">não tem</w:t>
      </w:r>
      <w:r>
        <w:t xml:space="preserve"> </w:t>
      </w:r>
      <w:r>
        <w:t xml:space="preserve">tradução possível para línguas com outra ordem ou outro plural. Usar sempre a frase</w:t>
      </w:r>
      <w:r>
        <w:t xml:space="preserve"> </w:t>
      </w:r>
      <w:r>
        <w:t xml:space="preserve">inteira com parâmetro e regra de plural.</w:t>
      </w:r>
    </w:p>
    <w:p>
      <w:r>
        <w:pict>
          <v:rect style="width:0;height:1.5pt" o:hralign="center" o:hrstd="t" o:hr="t"/>
        </w:pict>
      </w:r>
    </w:p>
    <w:bookmarkEnd w:id="49"/>
    <w:bookmarkStart w:id="50" w:name="ficheiros-e-chaves"/>
    <w:p>
      <w:pPr>
        <w:pStyle w:val="Heading2"/>
      </w:pPr>
      <w:r>
        <w:t xml:space="preserve">2. Ficheiros e chaves</w:t>
      </w:r>
    </w:p>
    <w:p>
      <w:pPr>
        <w:pStyle w:val="SourceCode"/>
      </w:pPr>
      <w:r>
        <w:rPr>
          <w:rStyle w:val="VerbatimChar"/>
        </w:rPr>
        <w:t xml:space="preserve">{{locales/}}</w:t>
      </w:r>
      <w:r>
        <w:br/>
      </w:r>
      <w:r>
        <w:rPr>
          <w:rStyle w:val="VerbatimChar"/>
        </w:rPr>
        <w:t xml:space="preserve">├── pt-PT.json     # origem</w:t>
      </w:r>
      <w:r>
        <w:br/>
      </w:r>
      <w:r>
        <w:rPr>
          <w:rStyle w:val="VerbatimChar"/>
        </w:rPr>
        <w:t xml:space="preserve">├── en.json</w:t>
      </w:r>
      <w:r>
        <w:br/>
      </w:r>
      <w:r>
        <w:rPr>
          <w:rStyle w:val="VerbatimChar"/>
        </w:rPr>
        <w:t xml:space="preserve">└── es.json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Chave descreve o</w:t>
            </w:r>
            <w:r>
              <w:t xml:space="preserve"> </w:t>
            </w:r>
            <w:r>
              <w:rPr>
                <w:b/>
                <w:bCs/>
              </w:rPr>
              <w:t xml:space="preserve">sítio e o sentido</w:t>
            </w:r>
            <w:r>
              <w:t xml:space="preserve">, não o texto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encomendas.lista.vazia</w:t>
            </w:r>
            <w:r>
              <w:t xml:space="preserve">, não</w:t>
            </w:r>
            <w:r>
              <w:t xml:space="preserve"> </w:t>
            </w:r>
            <w:r>
              <w:rPr>
                <w:rStyle w:val="VerbatimChar"/>
              </w:rPr>
              <w:t xml:space="preserve">nao_ha_encomendas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Uma chave por frase completa</w:t>
            </w:r>
          </w:p>
        </w:tc>
        <w:tc>
          <w:tcPr/>
          <w:p>
            <w:pPr>
              <w:pStyle w:val="Compact"/>
            </w:pPr>
            <w:r>
              <w:t xml:space="preserve">Nunca meia frase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Plural com regra da biblioteca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{n, plural, one {# resultado} other {# resultados}}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Variáveis nomeadas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{cliente}</w:t>
            </w:r>
            <w:r>
              <w:t xml:space="preserve">, não</w:t>
            </w:r>
            <w:r>
              <w:t xml:space="preserve"> </w:t>
            </w:r>
            <w:r>
              <w:rPr>
                <w:rStyle w:val="VerbatimChar"/>
              </w:rPr>
              <w:t xml:space="preserve">{0}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Comentário de contexto para quem traduz</w:t>
            </w:r>
          </w:p>
        </w:tc>
        <w:tc>
          <w:tcPr/>
          <w:p>
            <w:pPr>
              <w:pStyle w:val="Compact"/>
            </w:pPr>
            <w:r>
              <w:t xml:space="preserve">“Botão. Máx. 12 caracteres”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Contexto é obrigatório:</w:t>
      </w:r>
      <w:r>
        <w:t xml:space="preserve"> </w:t>
      </w:r>
      <w:r>
        <w:rPr>
          <w:i/>
          <w:iCs/>
        </w:rPr>
        <w:t xml:space="preserve">“Fechar”</w:t>
      </w:r>
      <w:r>
        <w:t xml:space="preserve"> </w:t>
      </w:r>
      <w:r>
        <w:t xml:space="preserve">pode ser fechar uma janela ou fechar uma</w:t>
      </w:r>
      <w:r>
        <w:t xml:space="preserve"> </w:t>
      </w:r>
      <w:r>
        <w:t xml:space="preserve">encomenda. Quem traduz não vê o ecrã.</w:t>
      </w:r>
    </w:p>
    <w:p>
      <w:r>
        <w:pict>
          <v:rect style="width:0;height:1.5pt" o:hralign="center" o:hrstd="t" o:hr="t"/>
        </w:pict>
      </w:r>
    </w:p>
    <w:bookmarkEnd w:id="50"/>
    <w:bookmarkStart w:id="51" w:name="o-que-muda-por-região"/>
    <w:p>
      <w:pPr>
        <w:pStyle w:val="Heading2"/>
      </w:pPr>
      <w:r>
        <w:t xml:space="preserve">3. O que muda por região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pt-PT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24/08/2026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08/24/2026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Nunca escrever o formato à mão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</w:t>
            </w:r>
          </w:p>
        </w:tc>
        <w:tc>
          <w:tcPr/>
          <w:p>
            <w:pPr>
              <w:pStyle w:val="Compact"/>
            </w:pPr>
            <w:r>
              <w:t xml:space="preserve">{{24 h}}</w:t>
            </w:r>
          </w:p>
        </w:tc>
        <w:tc>
          <w:tcPr/>
          <w:p>
            <w:pPr>
              <w:pStyle w:val="Compact"/>
            </w:pPr>
            <w:r>
              <w:t xml:space="preserve">{{12 h com AM/PM}}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1.234,56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1,234.56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Separadores trocados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Moeda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1.234,56 €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€1,234.56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Posição do símbolo muda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Semana começa</w:t>
            </w:r>
          </w:p>
        </w:tc>
        <w:tc>
          <w:tcPr/>
          <w:p>
            <w:pPr>
              <w:pStyle w:val="Compact"/>
            </w:pPr>
            <w:r>
              <w:t xml:space="preserve">Segunda</w:t>
            </w:r>
          </w:p>
        </w:tc>
        <w:tc>
          <w:tcPr/>
          <w:p>
            <w:pPr>
              <w:pStyle w:val="Compact"/>
            </w:pPr>
            <w:r>
              <w:t xml:space="preserve">Domingo</w:t>
            </w:r>
          </w:p>
        </w:tc>
        <w:tc>
          <w:tcPr/>
          <w:p>
            <w:pPr>
              <w:pStyle w:val="Compact"/>
            </w:pPr>
            <w:r>
              <w:t xml:space="preserve">Afeta calendários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Nomes</w:t>
            </w:r>
          </w:p>
        </w:tc>
        <w:tc>
          <w:tcPr/>
          <w:p>
            <w:pPr>
              <w:pStyle w:val="Compact"/>
            </w:pPr>
            <w:r>
              <w:t xml:space="preserve">Nome + apelidos</w:t>
            </w:r>
          </w:p>
        </w:tc>
        <w:tc>
          <w:tcPr/>
          <w:p>
            <w:pPr>
              <w:pStyle w:val="Compact"/>
            </w:pPr>
            <w:r>
              <w:t xml:space="preserve">Primeiro + último</w:t>
            </w:r>
          </w:p>
        </w:tc>
        <w:tc>
          <w:tcPr/>
          <w:p>
            <w:pPr>
              <w:pStyle w:val="Compact"/>
            </w:pPr>
            <w:r>
              <w:t xml:space="preserve">Não assumir dois campos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Morada</w:t>
            </w:r>
          </w:p>
        </w:tc>
        <w:tc>
          <w:tcPr/>
          <w:p>
            <w:pPr>
              <w:pStyle w:val="Compact"/>
            </w:pPr>
            <w:r>
              <w:t xml:space="preserve">{{Código postal</w:t>
            </w:r>
            <w:r>
              <w:t xml:space="preserve"> </w:t>
            </w:r>
            <w:r>
              <w:rPr>
                <w:rStyle w:val="VerbatimChar"/>
              </w:rPr>
              <w:t xml:space="preserve">0000-000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Formato próprio</w:t>
            </w:r>
          </w:p>
        </w:tc>
        <w:tc>
          <w:tcPr/>
          <w:p>
            <w:pPr>
              <w:pStyle w:val="Compact"/>
            </w:pPr>
            <w:r>
              <w:t xml:space="preserve">Validação por país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Telefone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+351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Guardar em formato internacional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Ordenação alfabética</w:t>
            </w:r>
          </w:p>
        </w:tc>
        <w:tc>
          <w:tcPr/>
          <w:p>
            <w:pPr>
              <w:pStyle w:val="Compact"/>
            </w:pPr>
            <w:r>
              <w:t xml:space="preserve">Com acentos</w:t>
            </w:r>
          </w:p>
        </w:tc>
        <w:tc>
          <w:tcPr/>
          <w:p>
            <w:pPr>
              <w:pStyle w:val="Compact"/>
            </w:pPr>
            <w:r>
              <w:t xml:space="preserve">Sem</w:t>
            </w:r>
          </w:p>
        </w:tc>
        <w:tc>
          <w:tcPr/>
          <w:p>
            <w:pPr>
              <w:pStyle w:val="Compact"/>
            </w:pPr>
            <w:r>
              <w:t xml:space="preserve">Ordenar pela regra da língua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6" w:name="processo-de-tradução"/>
    <w:p>
      <w:pPr>
        <w:pStyle w:val="Heading2"/>
      </w:pPr>
      <w:r>
        <w:t xml:space="preserve">4. Processo de tradução</w:t>
      </w:r>
    </w:p>
    <w:p>
      <w:pPr>
        <w:pStyle w:val="FirstParagraph"/>
      </w:pPr>
      <w:r>
        <w:drawing>
          <wp:inline>
            <wp:extent cx="6191999" cy="297559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out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297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Quem traduz</w:t>
            </w:r>
          </w:p>
        </w:tc>
        <w:tc>
          <w:tcPr/>
          <w:p>
            <w:pPr>
              <w:pStyle w:val="Compact"/>
            </w:pPr>
            <w:r>
              <w:t xml:space="preserve">{{Fornecedor / equipa / ferramenta com revisão}}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Quem revê</w:t>
            </w:r>
          </w:p>
        </w:tc>
        <w:tc>
          <w:tcPr/>
          <w:p>
            <w:pPr>
              <w:pStyle w:val="Compact"/>
            </w:pPr>
            <w:r>
              <w:t xml:space="preserve">{{Falante nativo com contexto do produto}}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Prazo</w:t>
            </w:r>
          </w:p>
        </w:tc>
        <w:tc>
          <w:tcPr/>
          <w:p>
            <w:pPr>
              <w:pStyle w:val="Compact"/>
            </w:pPr>
            <w:r>
              <w:t xml:space="preserve">{{5 dias úteis}} por lote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Chave sem tradução</w:t>
            </w:r>
          </w:p>
        </w:tc>
        <w:tc>
          <w:tcPr/>
          <w:p>
            <w:pPr>
              <w:pStyle w:val="Compact"/>
            </w:pPr>
            <w:r>
              <w:t xml:space="preserve">Mostra o idioma de origem —</w:t>
            </w:r>
            <w:r>
              <w:t xml:space="preserve"> </w:t>
            </w:r>
            <w:r>
              <w:rPr>
                <w:b/>
                <w:bCs/>
              </w:rPr>
              <w:t xml:space="preserve">nunca</w:t>
            </w:r>
            <w:r>
              <w:t xml:space="preserve"> </w:t>
            </w:r>
            <w:r>
              <w:t xml:space="preserve">a chave em bruto nem vazio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Glossário</w:t>
            </w:r>
          </w:p>
        </w:tc>
        <w:tc>
          <w:tcPr/>
          <w:p>
            <w:pPr>
              <w:pStyle w:val="Compact"/>
            </w:pPr>
            <w:r>
              <w:t xml:space="preserve">Os termos de negócio do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Glossário</w:t>
              </w:r>
            </w:hyperlink>
            <w:r>
              <w:t xml:space="preserve"> </w:t>
            </w:r>
            <w:r>
              <w:t xml:space="preserve">não se traduzem sem decisão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8" w:name="verificação"/>
    <w:p>
      <w:pPr>
        <w:pStyle w:val="Heading2"/>
      </w:pPr>
      <w:r>
        <w:t xml:space="preserve">5. Verificação</w:t>
      </w:r>
    </w:p>
    <w:p>
      <w:pPr>
        <w:pStyle w:val="Compact"/>
        <w:numPr>
          <w:ilvl w:val="0"/>
          <w:numId w:val="1008"/>
        </w:numPr>
      </w:pPr>
      <w:r>
        <w:t xml:space="preserve">Nenhuma chave em bruto visível ({{</w:t>
      </w:r>
      <w:r>
        <w:rPr>
          <w:rStyle w:val="VerbatimChar"/>
        </w:rPr>
        <w:t xml:space="preserve">encomendas.lista.vazia</w:t>
      </w:r>
      <w:r>
        <w:t xml:space="preserve">}} no ecrã)</w:t>
      </w:r>
    </w:p>
    <w:p>
      <w:pPr>
        <w:pStyle w:val="Compact"/>
        <w:numPr>
          <w:ilvl w:val="0"/>
          <w:numId w:val="1009"/>
        </w:numPr>
      </w:pPr>
      <w:r>
        <w:t xml:space="preserve">Nenhum texto cortado ou sobreposto no idioma mais longo ({{alemão, se aplicável}})</w:t>
      </w:r>
    </w:p>
    <w:p>
      <w:pPr>
        <w:pStyle w:val="Compact"/>
        <w:numPr>
          <w:ilvl w:val="0"/>
          <w:numId w:val="1010"/>
        </w:numPr>
      </w:pPr>
      <w:r>
        <w:t xml:space="preserve">Datas, moedas e números no formato da região</w:t>
      </w:r>
    </w:p>
    <w:p>
      <w:pPr>
        <w:pStyle w:val="Compact"/>
        <w:numPr>
          <w:ilvl w:val="0"/>
          <w:numId w:val="1011"/>
        </w:numPr>
      </w:pPr>
      <w:r>
        <w:t xml:space="preserve">Plurais corretos com 0, 1 e {{n}}</w:t>
      </w:r>
    </w:p>
    <w:p>
      <w:pPr>
        <w:pStyle w:val="Compact"/>
        <w:numPr>
          <w:ilvl w:val="0"/>
          <w:numId w:val="1012"/>
        </w:numPr>
      </w:pPr>
      <w:r>
        <w:t xml:space="preserve">Mensagens de erro e correio eletrónico também traduzidos — são o que mais fica esquecido</w:t>
      </w:r>
    </w:p>
    <w:p>
      <w:pPr>
        <w:pStyle w:val="Compact"/>
        <w:numPr>
          <w:ilvl w:val="0"/>
          <w:numId w:val="1013"/>
        </w:numPr>
      </w:pPr>
      <w:r>
        <w:t xml:space="preserve">{{Se houver idioma da direita para a esquerda: espelhamento do desenho}}</w:t>
      </w:r>
    </w:p>
    <w:p>
      <w:pPr>
        <w:pStyle w:val="Compact"/>
        <w:numPr>
          <w:ilvl w:val="0"/>
          <w:numId w:val="1014"/>
        </w:numPr>
      </w:pPr>
      <w:r>
        <w:t xml:space="preserve">Leitor de ecrã anuncia o idioma correto (</w:t>
      </w:r>
      <w:r>
        <w:rPr>
          <w:rStyle w:val="VerbatimChar"/>
        </w:rPr>
        <w:t xml:space="preserve">lang</w:t>
      </w:r>
      <w:r>
        <w:t xml:space="preserve">) — ver</w:t>
      </w:r>
      <w:r>
        <w:t xml:space="preserve"> </w:t>
      </w:r>
      <w:hyperlink r:id="rId57">
        <w:r>
          <w:rPr>
            <w:rStyle w:val="Hyperlink"/>
          </w:rPr>
          <w:t xml:space="preserve">Acessibilidade</w:t>
        </w:r>
      </w:hyperlink>
    </w:p>
    <w:p>
      <w:r>
        <w:pict>
          <v:rect style="width:0;height:1.5pt" o:hralign="center" o:hrstd="t" o:hr="t"/>
        </w:pict>
      </w:r>
    </w:p>
    <w:bookmarkEnd w:id="58"/>
    <w:bookmarkStart w:id="59" w:name="erros-comuns"/>
    <w:p>
      <w:pPr>
        <w:pStyle w:val="Heading2"/>
      </w:pPr>
      <w:r>
        <w:t xml:space="preserve">6. Erros comuns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</w:t>
            </w:r>
          </w:p>
        </w:tc>
        <w:tc>
          <w:tcPr/>
          <w:p>
            <w:pPr>
              <w:pStyle w:val="Compact"/>
            </w:pPr>
            <w:r>
              <w:t xml:space="preserve">Consequência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Frases por concatenação</w:t>
            </w:r>
          </w:p>
        </w:tc>
        <w:tc>
          <w:tcPr/>
          <w:p>
            <w:pPr>
              <w:pStyle w:val="Compact"/>
            </w:pPr>
            <w:r>
              <w:t xml:space="preserve">Impossível traduzir corretamente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Texto dentro de imagens</w:t>
            </w:r>
          </w:p>
        </w:tc>
        <w:tc>
          <w:tcPr/>
          <w:p>
            <w:pPr>
              <w:pStyle w:val="Compact"/>
            </w:pPr>
            <w:r>
              <w:t xml:space="preserve">Exige refazer a imagem por idioma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Assumir largura fixa</w:t>
            </w:r>
          </w:p>
        </w:tc>
        <w:tc>
          <w:tcPr/>
          <w:p>
            <w:pPr>
              <w:pStyle w:val="Compact"/>
            </w:pPr>
            <w:r>
              <w:t xml:space="preserve">Texto cortado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Traduzir sem ver o ecrã</w:t>
            </w:r>
          </w:p>
        </w:tc>
        <w:tc>
          <w:tcPr/>
          <w:p>
            <w:pPr>
              <w:pStyle w:val="Compact"/>
            </w:pPr>
            <w:r>
              <w:t xml:space="preserve">“Fechar”</w:t>
            </w:r>
            <w:r>
              <w:t xml:space="preserve"> </w:t>
            </w:r>
            <w:r>
              <w:t xml:space="preserve">a significar a coisa errada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Guardar datas na hora local</w:t>
            </w:r>
          </w:p>
        </w:tc>
        <w:tc>
          <w:tcPr/>
          <w:p>
            <w:pPr>
              <w:pStyle w:val="Compact"/>
            </w:pPr>
            <w:r>
              <w:t xml:space="preserve">Erros de um dia, e piores na mudança de hora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Traduzir termos de negócio</w:t>
            </w:r>
          </w:p>
        </w:tc>
        <w:tc>
          <w:tcPr/>
          <w:p>
            <w:pPr>
              <w:pStyle w:val="Compact"/>
            </w:pPr>
            <w:r>
              <w:t xml:space="preserve">Duas palavras para a mesma coisa, outra vez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3" w:name="documentos-relacionados"/>
    <w:p>
      <w:pPr>
        <w:pStyle w:val="Heading2"/>
      </w:pPr>
      <w:r>
        <w:t xml:space="preserve">Documentos relacionados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Relação</w:t>
            </w:r>
          </w:p>
        </w:tc>
      </w:tr>
      <w:tr>
        <w:tc>
          <w:tcPr/>
          <w:p>
            <w:pPr>
              <w:pStyle w:val="Compact"/>
            </w:pPr>
            <w:hyperlink r:id="rId60">
              <w:r>
                <w:rPr>
                  <w:rStyle w:val="Hyperlink"/>
                </w:rPr>
                <w:t xml:space="preserve">Conteúdo e Microtextos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Onde vivem os textos de origem</w:t>
            </w:r>
          </w:p>
        </w:tc>
      </w:tr>
      <w:tr>
        <w:tc>
          <w:tcPr/>
          <w:p>
            <w:pPr>
              <w:pStyle w:val="Compact"/>
            </w:pPr>
            <w:hyperlink r:id="rId55">
              <w:r>
                <w:rPr>
                  <w:rStyle w:val="Hyperlink"/>
                </w:rPr>
                <w:t xml:space="preserve">Glossário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 que não se traduz</w:t>
            </w:r>
          </w:p>
        </w:tc>
      </w:tr>
      <w:tr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Acessibilidade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Idioma declarado e leitores de ecrã</w:t>
            </w:r>
          </w:p>
        </w:tc>
      </w:tr>
      <w:tr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</w:rPr>
                <w:t xml:space="preserve">Requisitos Não Funcionais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Onde o suporte multilingue é exigido</w:t>
            </w:r>
          </w:p>
        </w:tc>
      </w:tr>
      <w:tr>
        <w:tc>
          <w:tcPr/>
          <w:p>
            <w:pPr>
              <w:pStyle w:val="Compact"/>
            </w:pPr>
            <w:hyperlink r:id="rId62">
              <w:r>
                <w:rPr>
                  <w:rStyle w:val="Hyperlink"/>
                </w:rPr>
                <w:t xml:space="preserve">Modelo de Dados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Codificação e dimensão dos campos</w:t>
            </w:r>
          </w:p>
        </w:tc>
      </w:tr>
    </w:tbl>
    <w:bookmarkEnd w:id="63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image" Id="rId52" Target="media/rId52.png" /><Relationship Type="http://schemas.openxmlformats.org/officeDocument/2006/relationships/hyperlink" Id="rId61" Target="../01-requisitos/03-requisitos-nao-funcionais.md" TargetMode="External" /><Relationship Type="http://schemas.openxmlformats.org/officeDocument/2006/relationships/hyperlink" Id="rId55" Target="../01-requisitos/06-glossario.md" TargetMode="External" /><Relationship Type="http://schemas.openxmlformats.org/officeDocument/2006/relationships/hyperlink" Id="rId62" Target="../03-arquitetura/03-modelo-dados.md" TargetMode="External" /><Relationship Type="http://schemas.openxmlformats.org/officeDocument/2006/relationships/hyperlink" Id="rId57" Target="04-acessibilidade.md" TargetMode="External" /><Relationship Type="http://schemas.openxmlformats.org/officeDocument/2006/relationships/hyperlink" Id="rId60" Target="05-conteudo-e-microtexto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../01-requisitos/03-requisitos-nao-funcionais.md" TargetMode="External" /><Relationship Type="http://schemas.openxmlformats.org/officeDocument/2006/relationships/hyperlink" Id="rId55" Target="../01-requisitos/06-glossario.md" TargetMode="External" /><Relationship Type="http://schemas.openxmlformats.org/officeDocument/2006/relationships/hyperlink" Id="rId62" Target="../03-arquitetura/03-modelo-dados.md" TargetMode="External" /><Relationship Type="http://schemas.openxmlformats.org/officeDocument/2006/relationships/hyperlink" Id="rId57" Target="04-acessibilidade.md" TargetMode="External" /><Relationship Type="http://schemas.openxmlformats.org/officeDocument/2006/relationships/hyperlink" Id="rId60" Target="05-conteudo-e-microtexto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Internacionalização e Localização — {{PROJETO}}</dc:title>
  <dc:creator/>
  <dc:language>pt-PT</dc:language>
  <cp:keywords/>
  <dcterms:created xsi:type="dcterms:W3CDTF">2026-08-24T15:59:16Z</dcterms:created>
  <dcterms:modified xsi:type="dcterms:W3CDTF">2026-08-24T15:59:16Z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