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media/rId60.png" ContentType="image/png"/>
  <Override PartName="/word/media/rId64.png" ContentType="image/png"/>
  <Override PartName="/word/media/rId6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Documento de Arquitetura de Software — {{PROJETO}}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Versão</w:t>
            </w:r>
          </w:p>
        </w:tc>
        <w:tc>
          <w:tcPr/>
          <w:p>
            <w:pPr>
              <w:pStyle w:val="Compact"/>
            </w:pPr>
            <w:r>
              <w:t xml:space="preserve">{{1.0}}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{{AAAA-MM-DD}}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Arquiteto responsável</w:t>
            </w:r>
          </w:p>
        </w:tc>
        <w:tc>
          <w:tcPr/>
          <w:p>
            <w:pPr>
              <w:pStyle w:val="Compact"/>
            </w:pPr>
            <w:r>
              <w:t xml:space="preserve">{{Nome}}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Rascunho / Aprovado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Revisores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55" w:name="introdução"/>
    <w:p>
      <w:pPr>
        <w:pStyle w:val="Heading2"/>
      </w:pPr>
      <w:r>
        <w:t xml:space="preserve">1. Introdução</w:t>
      </w:r>
    </w:p>
    <w:bookmarkStart w:id="49" w:name="objetivo-do-documento"/>
    <w:p>
      <w:pPr>
        <w:pStyle w:val="Heading3"/>
      </w:pPr>
      <w:r>
        <w:t xml:space="preserve">1.1 Objetivo do documento</w:t>
      </w:r>
    </w:p>
    <w:p>
      <w:pPr>
        <w:pStyle w:val="FirstParagraph"/>
      </w:pPr>
      <w:r>
        <w:t xml:space="preserve">{{Para quem é e o que permite decidir.}}</w:t>
      </w:r>
    </w:p>
    <w:bookmarkEnd w:id="49"/>
    <w:bookmarkStart w:id="50" w:name="âmbito"/>
    <w:p>
      <w:pPr>
        <w:pStyle w:val="Heading3"/>
      </w:pPr>
      <w:r>
        <w:t xml:space="preserve">1.2 Âmbito</w:t>
      </w:r>
    </w:p>
    <w:p>
      <w:pPr>
        <w:pStyle w:val="FirstParagraph"/>
      </w:pPr>
      <w:r>
        <w:t xml:space="preserve">{{Que sistemas cobre e quais ficam de fora.}}</w:t>
      </w:r>
    </w:p>
    <w:bookmarkEnd w:id="50"/>
    <w:bookmarkStart w:id="54" w:name="documentos-relacionados"/>
    <w:p>
      <w:pPr>
        <w:pStyle w:val="Heading3"/>
      </w:pPr>
      <w:r>
        <w:t xml:space="preserve">1.3 Documentos relacionados</w:t>
      </w:r>
    </w:p>
    <w:p>
      <w:pPr>
        <w:pStyle w:val="Compact"/>
        <w:numPr>
          <w:ilvl w:val="0"/>
          <w:numId w:val="1001"/>
        </w:numPr>
      </w:pPr>
      <w:hyperlink r:id="rId51">
        <w:r>
          <w:rPr>
            <w:rStyle w:val="Hyperlink"/>
          </w:rPr>
          <w:t xml:space="preserve">Visão de Produto</w:t>
        </w:r>
      </w:hyperlink>
    </w:p>
    <w:p>
      <w:pPr>
        <w:pStyle w:val="Compact"/>
        <w:numPr>
          <w:ilvl w:val="0"/>
          <w:numId w:val="1001"/>
        </w:numPr>
      </w:pPr>
      <w:hyperlink r:id="rId52">
        <w:r>
          <w:rPr>
            <w:rStyle w:val="Hyperlink"/>
          </w:rPr>
          <w:t xml:space="preserve">Requisitos Não Funcionais</w:t>
        </w:r>
      </w:hyperlink>
    </w:p>
    <w:p>
      <w:pPr>
        <w:pStyle w:val="Compact"/>
        <w:numPr>
          <w:ilvl w:val="0"/>
          <w:numId w:val="1001"/>
        </w:numPr>
      </w:pPr>
      <w:hyperlink r:id="rId53">
        <w:r>
          <w:rPr>
            <w:rStyle w:val="Hyperlink"/>
          </w:rPr>
          <w:t xml:space="preserve">ADRs</w:t>
        </w:r>
      </w:hyperlink>
    </w:p>
    <w:p>
      <w:r>
        <w:pict>
          <v:rect style="width:0;height:1.5pt" o:hralign="center" o:hrstd="t" o:hr="t"/>
        </w:pict>
      </w:r>
    </w:p>
    <w:bookmarkEnd w:id="54"/>
    <w:bookmarkEnd w:id="55"/>
    <w:bookmarkStart w:id="59" w:name="objetivos-e-restrições-arquiteturais"/>
    <w:p>
      <w:pPr>
        <w:pStyle w:val="Heading2"/>
      </w:pPr>
      <w:r>
        <w:t xml:space="preserve">2. Objetivos e restrições arquiteturais</w:t>
      </w:r>
    </w:p>
    <w:bookmarkStart w:id="56" w:name="atributos-de-qualidade-priorizados"/>
    <w:p>
      <w:pPr>
        <w:pStyle w:val="Heading3"/>
      </w:pPr>
      <w:r>
        <w:t xml:space="preserve">2.1 Atributos de qualidade priorizados</w:t>
      </w:r>
    </w:p>
    <w:p>
      <w:pPr>
        <w:pStyle w:val="BlockText"/>
      </w:pPr>
      <w:r>
        <w:t xml:space="preserve">A arquitetura é a materialização destas prioridades. Ordena-as — não podem ser todas primeiro.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Atributo</w:t>
            </w:r>
          </w:p>
        </w:tc>
        <w:tc>
          <w:tcPr/>
          <w:p>
            <w:pPr>
              <w:pStyle w:val="Compact"/>
            </w:pPr>
            <w:r>
              <w:t xml:space="preserve">Prioridade</w:t>
            </w:r>
          </w:p>
        </w:tc>
        <w:tc>
          <w:tcPr/>
          <w:p>
            <w:pPr>
              <w:pStyle w:val="Compact"/>
            </w:pPr>
            <w:r>
              <w:t xml:space="preserve">Cenário concreto</w:t>
            </w:r>
          </w:p>
        </w:tc>
        <w:tc>
          <w:tcPr/>
          <w:p>
            <w:pPr>
              <w:pStyle w:val="Compact"/>
            </w:pPr>
            <w:r>
              <w:t xml:space="preserve">RNF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{{Disponibilidade}}</w:t>
            </w:r>
          </w:p>
        </w:tc>
        <w:tc>
          <w:tcPr/>
          <w:p>
            <w:pPr>
              <w:pStyle w:val="Compact"/>
            </w:pPr>
            <w:r>
              <w:t xml:space="preserve">Crítica</w:t>
            </w:r>
          </w:p>
        </w:tc>
        <w:tc>
          <w:tcPr/>
          <w:p>
            <w:pPr>
              <w:pStyle w:val="Compact"/>
            </w:pPr>
            <w:r>
              <w:t xml:space="preserve">{{99,9% mensal; falha de uma AZ não interrompe serviço}}</w:t>
            </w:r>
          </w:p>
        </w:tc>
        <w:tc>
          <w:tcPr/>
          <w:p>
            <w:pPr>
              <w:pStyle w:val="Compact"/>
            </w:pPr>
            <w:r>
              <w:t xml:space="preserve">RNF-07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{{Segurança}}</w:t>
            </w:r>
          </w:p>
        </w:tc>
        <w:tc>
          <w:tcPr/>
          <w:p>
            <w:pPr>
              <w:pStyle w:val="Compact"/>
            </w:pPr>
            <w:r>
              <w:t xml:space="preserve">Crítica</w:t>
            </w:r>
          </w:p>
        </w:tc>
        <w:tc>
          <w:tcPr/>
          <w:p>
            <w:pPr>
              <w:pStyle w:val="Compact"/>
            </w:pPr>
            <w:r>
              <w:t xml:space="preserve">{{Dados pessoais cifrados; auditoria completa}}</w:t>
            </w:r>
          </w:p>
        </w:tc>
        <w:tc>
          <w:tcPr/>
          <w:p>
            <w:pPr>
              <w:pStyle w:val="Compact"/>
            </w:pPr>
            <w:r>
              <w:t xml:space="preserve">RNF-11…17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{{Desempenho}}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{{p95 ≤ 300 ms a 500 rps}}</w:t>
            </w:r>
          </w:p>
        </w:tc>
        <w:tc>
          <w:tcPr/>
          <w:p>
            <w:pPr>
              <w:pStyle w:val="Compact"/>
            </w:pPr>
            <w:r>
              <w:t xml:space="preserve">RNF-01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{{Manutenibilidade}}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{{Nova equipa produtiva em 2 semanas}}</w:t>
            </w:r>
          </w:p>
        </w:tc>
        <w:tc>
          <w:tcPr/>
          <w:p>
            <w:pPr>
              <w:pStyle w:val="Compact"/>
            </w:pPr>
            <w:r>
              <w:t xml:space="preserve">RNF-33</w:t>
            </w:r>
          </w:p>
        </w:tc>
      </w:tr>
    </w:tbl>
    <w:bookmarkEnd w:id="56"/>
    <w:bookmarkStart w:id="57" w:name="restrições"/>
    <w:p>
      <w:pPr>
        <w:pStyle w:val="Heading3"/>
      </w:pPr>
      <w:r>
        <w:t xml:space="preserve">2.2 Restrições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Restrição</w:t>
            </w:r>
          </w:p>
        </w:tc>
        <w:tc>
          <w:tcPr/>
          <w:p>
            <w:pPr>
              <w:pStyle w:val="Compact"/>
            </w:pPr>
            <w:r>
              <w:t xml:space="preserve">Origem</w:t>
            </w:r>
          </w:p>
        </w:tc>
        <w:tc>
          <w:tcPr/>
          <w:p>
            <w:pPr>
              <w:pStyle w:val="Compact"/>
            </w:pPr>
            <w:r>
              <w:t xml:space="preserve">Negociável?</w:t>
            </w:r>
          </w:p>
        </w:tc>
      </w:tr>
      <w:tr>
        <w:tc>
          <w:tcPr/>
          <w:p>
            <w:pPr>
              <w:pStyle w:val="Compact"/>
            </w:pPr>
            <w:r>
              <w:t xml:space="preserve">Técnica</w:t>
            </w:r>
          </w:p>
        </w:tc>
        <w:tc>
          <w:tcPr/>
          <w:p>
            <w:pPr>
              <w:pStyle w:val="Compact"/>
            </w:pPr>
            <w:r>
              <w:t xml:space="preserve">{{Tem de correr em {{cloud X}}}}</w:t>
            </w:r>
          </w:p>
        </w:tc>
        <w:tc>
          <w:tcPr/>
          <w:p>
            <w:pPr>
              <w:pStyle w:val="Compact"/>
            </w:pPr>
            <w:r>
              <w:t xml:space="preserve">{{Contrato corporativo}}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Técnica</w:t>
            </w:r>
          </w:p>
        </w:tc>
        <w:tc>
          <w:tcPr/>
          <w:p>
            <w:pPr>
              <w:pStyle w:val="Compact"/>
            </w:pPr>
            <w:r>
              <w:t xml:space="preserve">{{Stack {{linguagem}} — competências da equipa}}</w:t>
            </w:r>
          </w:p>
        </w:tc>
        <w:tc>
          <w:tcPr/>
          <w:p>
            <w:pPr>
              <w:pStyle w:val="Compact"/>
            </w:pPr>
            <w:r>
              <w:t xml:space="preserve">{{Equipa}}</w:t>
            </w:r>
          </w:p>
        </w:tc>
        <w:tc>
          <w:tcPr/>
          <w:p>
            <w:pPr>
              <w:pStyle w:val="Compact"/>
            </w:pPr>
            <w:r>
              <w:t xml:space="preserve">Parcialmente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Organizacional</w:t>
            </w:r>
          </w:p>
        </w:tc>
        <w:tc>
          <w:tcPr/>
          <w:p>
            <w:pPr>
              <w:pStyle w:val="Compact"/>
            </w:pPr>
            <w:r>
              <w:t xml:space="preserve">{{Equipa de 5 pessoas}}</w:t>
            </w:r>
          </w:p>
        </w:tc>
        <w:tc>
          <w:tcPr/>
          <w:p>
            <w:pPr>
              <w:pStyle w:val="Compact"/>
            </w:pPr>
            <w:r>
              <w:t xml:space="preserve">{{Orçamento}}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Legal</w:t>
            </w:r>
          </w:p>
        </w:tc>
        <w:tc>
          <w:tcPr/>
          <w:p>
            <w:pPr>
              <w:pStyle w:val="Compact"/>
            </w:pPr>
            <w:r>
              <w:t xml:space="preserve">{{Dados residem na UE}}</w:t>
            </w:r>
          </w:p>
        </w:tc>
        <w:tc>
          <w:tcPr/>
          <w:p>
            <w:pPr>
              <w:pStyle w:val="Compact"/>
            </w:pPr>
            <w:r>
              <w:t xml:space="preserve">{{RGPD}}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Temporal</w:t>
            </w:r>
          </w:p>
        </w:tc>
        <w:tc>
          <w:tcPr/>
          <w:p>
            <w:pPr>
              <w:pStyle w:val="Compact"/>
            </w:pPr>
            <w:r>
              <w:t xml:space="preserve">{{GA até {{data}}}}</w:t>
            </w:r>
          </w:p>
        </w:tc>
        <w:tc>
          <w:tcPr/>
          <w:p>
            <w:pPr>
              <w:pStyle w:val="Compact"/>
            </w:pPr>
            <w:r>
              <w:t xml:space="preserve">{{Compromisso comercial}}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</w:tr>
    </w:tbl>
    <w:bookmarkEnd w:id="57"/>
    <w:bookmarkStart w:id="58" w:name="princípios-arquiteturais"/>
    <w:p>
      <w:pPr>
        <w:pStyle w:val="Heading3"/>
      </w:pPr>
      <w:r>
        <w:t xml:space="preserve">2.3 Princípios arquiteturais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Princípio</w:t>
            </w:r>
          </w:p>
        </w:tc>
        <w:tc>
          <w:tcPr/>
          <w:p>
            <w:pPr>
              <w:pStyle w:val="Compact"/>
            </w:pPr>
            <w:r>
              <w:t xml:space="preserve">Implicação prática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{{API-first}}</w:t>
            </w:r>
          </w:p>
        </w:tc>
        <w:tc>
          <w:tcPr/>
          <w:p>
            <w:pPr>
              <w:pStyle w:val="Compact"/>
            </w:pPr>
            <w:r>
              <w:t xml:space="preserve">{{Contrato OpenAPI antes da implementação}}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{{Sem estado nos serviços}}</w:t>
            </w:r>
          </w:p>
        </w:tc>
        <w:tc>
          <w:tcPr/>
          <w:p>
            <w:pPr>
              <w:pStyle w:val="Compact"/>
            </w:pPr>
            <w:r>
              <w:t xml:space="preserve">{{Sessão em Redis, ficheiros em object storage}}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{{Falhar rápido e visivelmente}}</w:t>
            </w:r>
          </w:p>
        </w:tc>
        <w:tc>
          <w:tcPr/>
          <w:p>
            <w:pPr>
              <w:pStyle w:val="Compact"/>
            </w:pPr>
            <w:r>
              <w:t xml:space="preserve">{{Timeouts explícitos; sem retry infinito}}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P4</w:t>
            </w:r>
          </w:p>
        </w:tc>
        <w:tc>
          <w:tcPr/>
          <w:p>
            <w:pPr>
              <w:pStyle w:val="Compact"/>
            </w:pPr>
            <w:r>
              <w:t xml:space="preserve">{{Segurança por omissão}}</w:t>
            </w:r>
          </w:p>
        </w:tc>
        <w:tc>
          <w:tcPr/>
          <w:p>
            <w:pPr>
              <w:pStyle w:val="Compact"/>
            </w:pPr>
            <w:r>
              <w:t xml:space="preserve">{{Negar acesso salvo autorização explícita}}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P5</w:t>
            </w:r>
          </w:p>
        </w:tc>
        <w:tc>
          <w:tcPr/>
          <w:p>
            <w:pPr>
              <w:pStyle w:val="Compact"/>
            </w:pPr>
            <w:r>
              <w:t xml:space="preserve">{{Simplicidade primeiro}}</w:t>
            </w:r>
          </w:p>
        </w:tc>
        <w:tc>
          <w:tcPr/>
          <w:p>
            <w:pPr>
              <w:pStyle w:val="Compact"/>
            </w:pPr>
            <w:r>
              <w:t xml:space="preserve">{{Monólito modular até a evidência justificar dividir}}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8"/>
    <w:bookmarkEnd w:id="59"/>
    <w:bookmarkStart w:id="63" w:name="vista-de-contexto-c4-nível-1"/>
    <w:p>
      <w:pPr>
        <w:pStyle w:val="Heading2"/>
      </w:pPr>
      <w:r>
        <w:t xml:space="preserve">3. Vista de contexto (C4 — Nível 1)</w:t>
      </w:r>
    </w:p>
    <w:p>
      <w:pPr>
        <w:pStyle w:val="FirstParagraph"/>
      </w:pPr>
      <w:r>
        <w:drawing>
          <wp:inline>
            <wp:extent cx="6191999" cy="3532709"/>
            <wp:effectExtent b="0" l="0" r="0" t="0"/>
            <wp:docPr descr="" title="" id="61" name="Picture"/>
            <a:graphic>
              <a:graphicData uri="http://schemas.openxmlformats.org/drawingml/2006/picture">
                <pic:pic>
                  <pic:nvPicPr>
                    <pic:cNvPr descr="out-1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999" cy="35327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63"/>
    <w:bookmarkStart w:id="68" w:name="vista-de-contentores-c4-nível-2"/>
    <w:p>
      <w:pPr>
        <w:pStyle w:val="Heading2"/>
      </w:pPr>
      <w:r>
        <w:t xml:space="preserve">4. Vista de contentores (C4 — Nível 2)</w:t>
      </w:r>
    </w:p>
    <w:p>
      <w:pPr>
        <w:pStyle w:val="FirstParagraph"/>
      </w:pPr>
      <w:r>
        <w:drawing>
          <wp:inline>
            <wp:extent cx="6191999" cy="5798275"/>
            <wp:effectExtent b="0" l="0" r="0" t="0"/>
            <wp:docPr descr="" title="" id="65" name="Picture"/>
            <a:graphic>
              <a:graphicData uri="http://schemas.openxmlformats.org/drawingml/2006/picture">
                <pic:pic>
                  <pic:nvPicPr>
                    <pic:cNvPr descr="out-2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999" cy="57982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67" w:name="inventário-de-contentores"/>
    <w:p>
      <w:pPr>
        <w:pStyle w:val="Heading3"/>
      </w:pPr>
      <w:r>
        <w:t xml:space="preserve">Inventário de contentores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Contentor</w:t>
            </w:r>
          </w:p>
        </w:tc>
        <w:tc>
          <w:tcPr/>
          <w:p>
            <w:pPr>
              <w:pStyle w:val="Compact"/>
            </w:pPr>
            <w:r>
              <w:t xml:space="preserve">Tecnologia</w:t>
            </w:r>
          </w:p>
        </w:tc>
        <w:tc>
          <w:tcPr/>
          <w:p>
            <w:pPr>
              <w:pStyle w:val="Compact"/>
            </w:pPr>
            <w:r>
              <w:t xml:space="preserve">Responsabilidade</w:t>
            </w:r>
          </w:p>
        </w:tc>
        <w:tc>
          <w:tcPr/>
          <w:p>
            <w:pPr>
              <w:pStyle w:val="Compact"/>
            </w:pPr>
            <w:r>
              <w:t xml:space="preserve">Escala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 SPA</w:t>
            </w:r>
          </w:p>
        </w:tc>
        <w:tc>
          <w:tcPr/>
          <w:p>
            <w:pPr>
              <w:pStyle w:val="Compact"/>
            </w:pPr>
            <w:r>
              <w:t xml:space="preserve">{{React {{versão}}}}</w:t>
            </w:r>
          </w:p>
        </w:tc>
        <w:tc>
          <w:tcPr/>
          <w:p>
            <w:pPr>
              <w:pStyle w:val="Compact"/>
            </w:pPr>
            <w:r>
              <w:t xml:space="preserve">Interface</w:t>
            </w:r>
          </w:p>
        </w:tc>
        <w:tc>
          <w:tcPr/>
          <w:p>
            <w:pPr>
              <w:pStyle w:val="Compact"/>
            </w:pPr>
            <w:r>
              <w:t xml:space="preserve">CDN</w:t>
            </w:r>
          </w:p>
        </w:tc>
        <w:tc>
          <w:tcPr/>
          <w:p>
            <w:pPr>
              <w:pStyle w:val="Compact"/>
            </w:pPr>
            <w:r>
              <w:t xml:space="preserve">Sem estado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Regras de negócio, REST</w:t>
            </w:r>
          </w:p>
        </w:tc>
        <w:tc>
          <w:tcPr/>
          <w:p>
            <w:pPr>
              <w:pStyle w:val="Compact"/>
            </w:pPr>
            <w:r>
              <w:t xml:space="preserve">{{3–10 pods}}</w:t>
            </w:r>
          </w:p>
        </w:tc>
        <w:tc>
          <w:tcPr/>
          <w:p>
            <w:pPr>
              <w:pStyle w:val="Compact"/>
            </w:pPr>
            <w:r>
              <w:t xml:space="preserve">Sem estado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Worker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Eventos, e-mail, relatórios</w:t>
            </w:r>
          </w:p>
        </w:tc>
        <w:tc>
          <w:tcPr/>
          <w:p>
            <w:pPr>
              <w:pStyle w:val="Compact"/>
            </w:pPr>
            <w:r>
              <w:t xml:space="preserve">{{2–6 pods}}</w:t>
            </w:r>
          </w:p>
        </w:tc>
        <w:tc>
          <w:tcPr/>
          <w:p>
            <w:pPr>
              <w:pStyle w:val="Compact"/>
            </w:pPr>
            <w:r>
              <w:t xml:space="preserve">Sem estado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PostgreSQL</w:t>
            </w:r>
          </w:p>
        </w:tc>
        <w:tc>
          <w:tcPr/>
          <w:p>
            <w:pPr>
              <w:pStyle w:val="Compact"/>
            </w:pPr>
            <w:r>
              <w:t xml:space="preserve">{{versão}}</w:t>
            </w:r>
          </w:p>
        </w:tc>
        <w:tc>
          <w:tcPr/>
          <w:p>
            <w:pPr>
              <w:pStyle w:val="Compact"/>
            </w:pPr>
            <w:r>
              <w:t xml:space="preserve">Persistência transacional</w:t>
            </w:r>
          </w:p>
        </w:tc>
        <w:tc>
          <w:tcPr/>
          <w:p>
            <w:pPr>
              <w:pStyle w:val="Compact"/>
            </w:pPr>
            <w:r>
              <w:t xml:space="preserve">{{1 primária + 1 réplica}}</w:t>
            </w:r>
          </w:p>
        </w:tc>
        <w:tc>
          <w:tcPr/>
          <w:p>
            <w:pPr>
              <w:pStyle w:val="Compact"/>
            </w:pPr>
            <w:r>
              <w:t xml:space="preserve">Com estado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Redis</w:t>
            </w:r>
          </w:p>
        </w:tc>
        <w:tc>
          <w:tcPr/>
          <w:p>
            <w:pPr>
              <w:pStyle w:val="Compact"/>
            </w:pPr>
            <w:r>
              <w:t xml:space="preserve">{{versão}}</w:t>
            </w:r>
          </w:p>
        </w:tc>
        <w:tc>
          <w:tcPr/>
          <w:p>
            <w:pPr>
              <w:pStyle w:val="Compact"/>
            </w:pPr>
            <w:r>
              <w:t xml:space="preserve">Sessões, cache</w:t>
            </w:r>
          </w:p>
        </w:tc>
        <w:tc>
          <w:tcPr/>
          <w:p>
            <w:pPr>
              <w:pStyle w:val="Compact"/>
            </w:pPr>
            <w:r>
              <w:t xml:space="preserve">{{cluster 3 nós}}</w:t>
            </w:r>
          </w:p>
        </w:tc>
        <w:tc>
          <w:tcPr/>
          <w:p>
            <w:pPr>
              <w:pStyle w:val="Compact"/>
            </w:pPr>
            <w:r>
              <w:t xml:space="preserve">Efémero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7"/>
    <w:bookmarkEnd w:id="68"/>
    <w:bookmarkStart w:id="72" w:name="X8c3c7924450934559c509b073a21530d3a085b9"/>
    <w:p>
      <w:pPr>
        <w:pStyle w:val="Heading2"/>
      </w:pPr>
      <w:r>
        <w:t xml:space="preserve">5. Vista de componentes (C4 — Nível 3) — contentor</w:t>
      </w:r>
      <w:r>
        <w:t xml:space="preserve"> </w:t>
      </w:r>
      <w:r>
        <w:rPr>
          <w:rStyle w:val="VerbatimChar"/>
        </w:rPr>
        <w:t xml:space="preserve">API</w:t>
      </w:r>
    </w:p>
    <w:p>
      <w:pPr>
        <w:pStyle w:val="FirstParagraph"/>
      </w:pPr>
      <w:r>
        <w:drawing>
          <wp:inline>
            <wp:extent cx="6191999" cy="3531246"/>
            <wp:effectExtent b="0" l="0" r="0" t="0"/>
            <wp:docPr descr="" title="" id="70" name="Picture"/>
            <a:graphic>
              <a:graphicData uri="http://schemas.openxmlformats.org/drawingml/2006/picture">
                <pic:pic>
                  <pic:nvPicPr>
                    <pic:cNvPr descr="out-3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999" cy="35312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Regra de dependência:</w:t>
      </w:r>
      <w:r>
        <w:t xml:space="preserve"> </w:t>
      </w:r>
      <w:r>
        <w:t xml:space="preserve">as setas apontam sempre para dentro. O domínio não conhece infraestrutura.</w:t>
      </w:r>
    </w:p>
    <w:p>
      <w:r>
        <w:pict>
          <v:rect style="width:0;height:1.5pt" o:hralign="center" o:hrstd="t" o:hr="t"/>
        </w:pict>
      </w:r>
    </w:p>
    <w:bookmarkEnd w:id="72"/>
    <w:bookmarkStart w:id="74" w:name="vista-de-dados"/>
    <w:p>
      <w:pPr>
        <w:pStyle w:val="Heading2"/>
      </w:pPr>
      <w:r>
        <w:t xml:space="preserve">6. Vista de dados</w:t>
      </w:r>
    </w:p>
    <w:p>
      <w:pPr>
        <w:pStyle w:val="BlockText"/>
      </w:pPr>
      <w:r>
        <w:t xml:space="preserve">Detalhe em</w:t>
      </w:r>
      <w:r>
        <w:t xml:space="preserve"> </w:t>
      </w:r>
      <w:hyperlink r:id="rId73">
        <w:r>
          <w:rPr>
            <w:rStyle w:val="Hyperlink"/>
          </w:rPr>
          <w:t xml:space="preserve">Modelo de Dados</w:t>
        </w:r>
      </w:hyperlink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Aspeto</w:t>
            </w:r>
          </w:p>
        </w:tc>
        <w:tc>
          <w:tcPr/>
          <w:p>
            <w:pPr>
              <w:pStyle w:val="Compact"/>
            </w:pPr>
            <w:r>
              <w:t xml:space="preserve">Decisão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Motor principal</w:t>
            </w:r>
          </w:p>
        </w:tc>
        <w:tc>
          <w:tcPr/>
          <w:p>
            <w:pPr>
              <w:pStyle w:val="Compact"/>
            </w:pPr>
            <w:r>
              <w:t xml:space="preserve">{{PostgreSQL 16}}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Justificação</w:t>
            </w:r>
          </w:p>
        </w:tc>
        <w:tc>
          <w:tcPr/>
          <w:p>
            <w:pPr>
              <w:pStyle w:val="Compact"/>
            </w:pPr>
            <w:r>
              <w:t xml:space="preserve">{{Transações ACID necessárias para invariantes de encomenda}}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Estratégia de migrações</w:t>
            </w:r>
          </w:p>
        </w:tc>
        <w:tc>
          <w:tcPr/>
          <w:p>
            <w:pPr>
              <w:pStyle w:val="Compact"/>
            </w:pPr>
            <w:r>
              <w:t xml:space="preserve">{{Migrações versionadas, forward-only, compatíveis com deploy contínuo}}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Multi-tenancy</w:t>
            </w:r>
          </w:p>
        </w:tc>
        <w:tc>
          <w:tcPr/>
          <w:p>
            <w:pPr>
              <w:pStyle w:val="Compact"/>
            </w:pPr>
            <w:r>
              <w:t xml:space="preserve">{{Coluna</w:t>
            </w:r>
            <w:r>
              <w:t xml:space="preserve"> </w:t>
            </w:r>
            <w:r>
              <w:rPr>
                <w:rStyle w:val="VerbatimChar"/>
              </w:rPr>
              <w:t xml:space="preserve">tenant_id</w:t>
            </w:r>
            <w:r>
              <w:t xml:space="preserve"> </w:t>
            </w:r>
            <w:r>
              <w:t xml:space="preserve">+ RLS}}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Retenção</w:t>
            </w:r>
          </w:p>
        </w:tc>
        <w:tc>
          <w:tcPr/>
          <w:p>
            <w:pPr>
              <w:pStyle w:val="Compact"/>
            </w:pPr>
            <w:r>
              <w:t xml:space="preserve">{{Encomendas 10 anos (fiscal); registos 90 dias}}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Consistência</w:t>
            </w:r>
          </w:p>
        </w:tc>
        <w:tc>
          <w:tcPr/>
          <w:p>
            <w:pPr>
              <w:pStyle w:val="Compact"/>
            </w:pPr>
            <w:r>
              <w:t xml:space="preserve">{{Forte dentro do agregado; eventual entre contextos}}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4"/>
    <w:bookmarkStart w:id="76" w:name="vista-de-implantação"/>
    <w:p>
      <w:pPr>
        <w:pStyle w:val="Heading2"/>
      </w:pPr>
      <w:r>
        <w:t xml:space="preserve">7. Vista de implantação</w:t>
      </w:r>
    </w:p>
    <w:p>
      <w:pPr>
        <w:pStyle w:val="BlockText"/>
      </w:pPr>
      <w:r>
        <w:t xml:space="preserve">Ver diagrama em</w:t>
      </w:r>
      <w:r>
        <w:t xml:space="preserve"> </w:t>
      </w:r>
      <w:hyperlink r:id="rId75">
        <w:r>
          <w:rPr>
            <w:rStyle w:val="Hyperlink"/>
          </w:rPr>
          <w:t xml:space="preserve">Guia de Diagramas §4</w:t>
        </w:r>
      </w:hyperlink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Ambiente</w:t>
            </w:r>
          </w:p>
        </w:tc>
        <w:tc>
          <w:tcPr/>
          <w:p>
            <w:pPr>
              <w:pStyle w:val="Compact"/>
            </w:pPr>
            <w:r>
              <w:t xml:space="preserve">Finalidade</w:t>
            </w:r>
          </w:p>
        </w:tc>
        <w:tc>
          <w:tcPr/>
          <w:p>
            <w:pPr>
              <w:pStyle w:val="Compact"/>
            </w:pPr>
            <w:r>
              <w:t xml:space="preserve">Dados</w:t>
            </w:r>
          </w:p>
        </w:tc>
        <w:tc>
          <w:tcPr/>
          <w:p>
            <w:pPr>
              <w:pStyle w:val="Compact"/>
            </w:pPr>
            <w:r>
              <w:t xml:space="preserve">Acesso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Local</w:t>
            </w:r>
          </w:p>
        </w:tc>
        <w:tc>
          <w:tcPr/>
          <w:p>
            <w:pPr>
              <w:pStyle w:val="Compact"/>
            </w:pPr>
            <w:r>
              <w:t xml:space="preserve">Desenvolvimento</w:t>
            </w:r>
          </w:p>
        </w:tc>
        <w:tc>
          <w:tcPr/>
          <w:p>
            <w:pPr>
              <w:pStyle w:val="Compact"/>
            </w:pPr>
            <w:r>
              <w:t xml:space="preserve">Sintéticos</w:t>
            </w:r>
          </w:p>
        </w:tc>
        <w:tc>
          <w:tcPr/>
          <w:p>
            <w:pPr>
              <w:pStyle w:val="Compact"/>
            </w:pPr>
            <w:r>
              <w:t xml:space="preserve">Programadores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</w:t>
            </w:r>
          </w:p>
        </w:tc>
        <w:tc>
          <w:tcPr/>
          <w:p>
            <w:pPr>
              <w:pStyle w:val="Compact"/>
            </w:pPr>
            <w:r>
              <w:t xml:space="preserve">Testes automáticos</w:t>
            </w:r>
          </w:p>
        </w:tc>
        <w:tc>
          <w:tcPr/>
          <w:p>
            <w:pPr>
              <w:pStyle w:val="Compact"/>
            </w:pPr>
            <w:r>
              <w:t xml:space="preserve">Sintéticos</w:t>
            </w:r>
          </w:p>
        </w:tc>
        <w:tc>
          <w:tcPr/>
          <w:p>
            <w:pPr>
              <w:pStyle w:val="Compact"/>
            </w:pPr>
            <w:r>
              <w:t xml:space="preserve">Pipeline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Staging</w:t>
            </w:r>
          </w:p>
        </w:tc>
        <w:tc>
          <w:tcPr/>
          <w:p>
            <w:pPr>
              <w:pStyle w:val="Compact"/>
            </w:pPr>
            <w:r>
              <w:t xml:space="preserve">Validação pré-produção</w:t>
            </w:r>
          </w:p>
        </w:tc>
        <w:tc>
          <w:tcPr/>
          <w:p>
            <w:pPr>
              <w:pStyle w:val="Compact"/>
            </w:pPr>
            <w:r>
              <w:t xml:space="preserve">Anonimizados</w:t>
            </w:r>
          </w:p>
        </w:tc>
        <w:tc>
          <w:tcPr/>
          <w:p>
            <w:pPr>
              <w:pStyle w:val="Compact"/>
            </w:pPr>
            <w:r>
              <w:t xml:space="preserve">Equipa + 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Produção</w:t>
            </w:r>
          </w:p>
        </w:tc>
        <w:tc>
          <w:tcPr/>
          <w:p>
            <w:pPr>
              <w:pStyle w:val="Compact"/>
            </w:pPr>
            <w:r>
              <w:t xml:space="preserve">Serviço real</w:t>
            </w:r>
          </w:p>
        </w:tc>
        <w:tc>
          <w:tcPr/>
          <w:p>
            <w:pPr>
              <w:pStyle w:val="Compact"/>
            </w:pPr>
            <w:r>
              <w:t xml:space="preserve">Reais</w:t>
            </w:r>
          </w:p>
        </w:tc>
        <w:tc>
          <w:tcPr/>
          <w:p>
            <w:pPr>
              <w:pStyle w:val="Compact"/>
            </w:pPr>
            <w:r>
              <w:t xml:space="preserve">Restrito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6"/>
    <w:bookmarkStart w:id="77" w:name="preocupações-transversais"/>
    <w:p>
      <w:pPr>
        <w:pStyle w:val="Heading2"/>
      </w:pPr>
      <w:r>
        <w:t xml:space="preserve">8. Preocupações transversais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Preocupação</w:t>
            </w:r>
          </w:p>
        </w:tc>
        <w:tc>
          <w:tcPr/>
          <w:p>
            <w:pPr>
              <w:pStyle w:val="Compact"/>
            </w:pPr>
            <w:r>
              <w:t xml:space="preserve">Abordagem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Autenticação</w:t>
            </w:r>
          </w:p>
        </w:tc>
        <w:tc>
          <w:tcPr/>
          <w:p>
            <w:pPr>
              <w:pStyle w:val="Compact"/>
            </w:pPr>
            <w:r>
              <w:t xml:space="preserve">{{OIDC com {{IdP}}; tokens JWT de 15 min + refresh}}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Autorização</w:t>
            </w:r>
          </w:p>
        </w:tc>
        <w:tc>
          <w:tcPr/>
          <w:p>
            <w:pPr>
              <w:pStyle w:val="Compact"/>
            </w:pPr>
            <w:r>
              <w:t xml:space="preserve">{{RBAC verificado na camada de aplicação; negação por omissão}}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Registo (logging)</w:t>
            </w:r>
          </w:p>
        </w:tc>
        <w:tc>
          <w:tcPr/>
          <w:p>
            <w:pPr>
              <w:pStyle w:val="Compact"/>
            </w:pPr>
            <w:r>
              <w:t xml:space="preserve">{{JSON estruturado;</w:t>
            </w:r>
            <w:r>
              <w:t xml:space="preserve"> </w:t>
            </w:r>
            <w:r>
              <w:rPr>
                <w:rStyle w:val="VerbatimChar"/>
              </w:rPr>
              <w:t xml:space="preserve">trace_id</w:t>
            </w:r>
            <w:r>
              <w:t xml:space="preserve">; nunca dados pessoais em claro}}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Tratamento de erros</w:t>
            </w:r>
          </w:p>
        </w:tc>
        <w:tc>
          <w:tcPr/>
          <w:p>
            <w:pPr>
              <w:pStyle w:val="Compact"/>
            </w:pPr>
            <w:r>
              <w:t xml:space="preserve">{{Problem Details RFC 9457; erros de domínio distintos de erros técnicos}}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Idempotência</w:t>
            </w:r>
          </w:p>
        </w:tc>
        <w:tc>
          <w:tcPr/>
          <w:p>
            <w:pPr>
              <w:pStyle w:val="Compact"/>
            </w:pPr>
            <w:r>
              <w:t xml:space="preserve">{{Cabeçalho</w:t>
            </w:r>
            <w:r>
              <w:t xml:space="preserve"> </w:t>
            </w:r>
            <w:r>
              <w:rPr>
                <w:rStyle w:val="VerbatimChar"/>
              </w:rPr>
              <w:t xml:space="preserve">Idempotency-Key</w:t>
            </w:r>
            <w:r>
              <w:t xml:space="preserve"> </w:t>
            </w:r>
            <w:r>
              <w:t xml:space="preserve">em POST de escrita crítica}}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Resiliência</w:t>
            </w:r>
          </w:p>
        </w:tc>
        <w:tc>
          <w:tcPr/>
          <w:p>
            <w:pPr>
              <w:pStyle w:val="Compact"/>
            </w:pPr>
            <w:r>
              <w:t xml:space="preserve">{{Timeouts explícitos, retry com backoff + jitter, circuit breaker por dependência}}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Configuração</w:t>
            </w:r>
          </w:p>
        </w:tc>
        <w:tc>
          <w:tcPr/>
          <w:p>
            <w:pPr>
              <w:pStyle w:val="Compact"/>
            </w:pPr>
            <w:r>
              <w:t xml:space="preserve">{{Variáveis de ambiente; segredos em {{cofre}}; nada em repositório}}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Versionamento de API</w:t>
            </w:r>
          </w:p>
        </w:tc>
        <w:tc>
          <w:tcPr/>
          <w:p>
            <w:pPr>
              <w:pStyle w:val="Compact"/>
            </w:pPr>
            <w:r>
              <w:t xml:space="preserve">{{Prefixo</w:t>
            </w:r>
            <w:r>
              <w:t xml:space="preserve"> </w:t>
            </w:r>
            <w:r>
              <w:rPr>
                <w:rStyle w:val="VerbatimChar"/>
              </w:rPr>
              <w:t xml:space="preserve">/v1</w:t>
            </w:r>
            <w:r>
              <w:t xml:space="preserve">; alterações compatíveis sem nova versão}}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Auditoria</w:t>
            </w:r>
          </w:p>
        </w:tc>
        <w:tc>
          <w:tcPr/>
          <w:p>
            <w:pPr>
              <w:pStyle w:val="Compact"/>
            </w:pPr>
            <w:r>
              <w:t xml:space="preserve">{{Tabela append-only para ações sensíveis}}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Internacionalização</w:t>
            </w:r>
          </w:p>
        </w:tc>
        <w:tc>
          <w:tcPr/>
          <w:p>
            <w:pPr>
              <w:pStyle w:val="Compact"/>
            </w:pPr>
            <w:r>
              <w:t xml:space="preserve">{{Chaves de tradução; UTC na persistência}}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7"/>
    <w:bookmarkStart w:id="79" w:name="decisões-arquiteturais"/>
    <w:p>
      <w:pPr>
        <w:pStyle w:val="Heading2"/>
      </w:pPr>
      <w:r>
        <w:t xml:space="preserve">9. Decisões arquiteturais</w:t>
      </w:r>
    </w:p>
    <w:p>
      <w:pPr>
        <w:pStyle w:val="BlockText"/>
      </w:pPr>
      <w:r>
        <w:t xml:space="preserve">Registo completo em</w:t>
      </w:r>
      <w:r>
        <w:t xml:space="preserve"> </w:t>
      </w:r>
      <w:hyperlink r:id="rId53">
        <w:r>
          <w:rPr>
            <w:rStyle w:val="VerbatimChar"/>
          </w:rPr>
          <w:t xml:space="preserve">adr/</w:t>
        </w:r>
      </w:hyperlink>
      <w:r>
        <w:t xml:space="preserve">. Ver</w:t>
      </w:r>
      <w:r>
        <w:t xml:space="preserve"> </w:t>
      </w:r>
      <w:hyperlink r:id="rId78">
        <w:r>
          <w:rPr>
            <w:rStyle w:val="Hyperlink"/>
          </w:rPr>
          <w:t xml:space="preserve">modelo de ADR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ADR</w:t>
            </w:r>
          </w:p>
        </w:tc>
        <w:tc>
          <w:tcPr/>
          <w:p>
            <w:pPr>
              <w:pStyle w:val="Compact"/>
            </w:pPr>
            <w:r>
              <w:t xml:space="preserve">Decisão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ADR-001</w:t>
            </w:r>
          </w:p>
        </w:tc>
        <w:tc>
          <w:tcPr/>
          <w:p>
            <w:pPr>
              <w:pStyle w:val="Compact"/>
            </w:pPr>
            <w:r>
              <w:t xml:space="preserve">{{Monólito modular em vez de microsserviços}}</w:t>
            </w:r>
          </w:p>
        </w:tc>
        <w:tc>
          <w:tcPr/>
          <w:p>
            <w:pPr>
              <w:pStyle w:val="Compact"/>
            </w:pPr>
            <w:r>
              <w:t xml:space="preserve">Aceite</w:t>
            </w:r>
          </w:p>
        </w:tc>
        <w:tc>
          <w:tcPr/>
          <w:p>
            <w:pPr>
              <w:pStyle w:val="Compact"/>
            </w:pPr>
            <w:r>
              <w:t xml:space="preserve">{{data}}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ADR-002</w:t>
            </w:r>
          </w:p>
        </w:tc>
        <w:tc>
          <w:tcPr/>
          <w:p>
            <w:pPr>
              <w:pStyle w:val="Compact"/>
            </w:pPr>
            <w:r>
              <w:t xml:space="preserve">{{PostgreSQL como armazenamento principal}}</w:t>
            </w:r>
          </w:p>
        </w:tc>
        <w:tc>
          <w:tcPr/>
          <w:p>
            <w:pPr>
              <w:pStyle w:val="Compact"/>
            </w:pPr>
            <w:r>
              <w:t xml:space="preserve">Aceite</w:t>
            </w:r>
          </w:p>
        </w:tc>
        <w:tc>
          <w:tcPr/>
          <w:p>
            <w:pPr>
              <w:pStyle w:val="Compact"/>
            </w:pPr>
            <w:r>
              <w:t xml:space="preserve">{{data}}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ADR-003</w:t>
            </w:r>
          </w:p>
        </w:tc>
        <w:tc>
          <w:tcPr/>
          <w:p>
            <w:pPr>
              <w:pStyle w:val="Compact"/>
            </w:pPr>
            <w:r>
              <w:t xml:space="preserve">{{Consistência eventual entre Vendas e Faturação}}</w:t>
            </w:r>
          </w:p>
        </w:tc>
        <w:tc>
          <w:tcPr/>
          <w:p>
            <w:pPr>
              <w:pStyle w:val="Compact"/>
            </w:pPr>
            <w:r>
              <w:t xml:space="preserve">Aceite</w:t>
            </w:r>
          </w:p>
        </w:tc>
        <w:tc>
          <w:tcPr/>
          <w:p>
            <w:pPr>
              <w:pStyle w:val="Compact"/>
            </w:pPr>
            <w:r>
              <w:t xml:space="preserve">{{data}}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9"/>
    <w:bookmarkStart w:id="80" w:name="riscos-técnicos-e-dívida-conhecida"/>
    <w:p>
      <w:pPr>
        <w:pStyle w:val="Heading2"/>
      </w:pPr>
      <w:r>
        <w:t xml:space="preserve">10. Riscos técnicos e dívida conhecida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Risco / Dívida</w:t>
            </w:r>
          </w:p>
        </w:tc>
        <w:tc>
          <w:tcPr/>
          <w:p>
            <w:pPr>
              <w:pStyle w:val="Compact"/>
            </w:pPr>
            <w:r>
              <w:t xml:space="preserve">Impacto</w:t>
            </w:r>
          </w:p>
        </w:tc>
        <w:tc>
          <w:tcPr/>
          <w:p>
            <w:pPr>
              <w:pStyle w:val="Compact"/>
            </w:pPr>
            <w:r>
              <w:t xml:space="preserve">Probabilidade</w:t>
            </w:r>
          </w:p>
        </w:tc>
        <w:tc>
          <w:tcPr/>
          <w:p>
            <w:pPr>
              <w:pStyle w:val="Compact"/>
            </w:pPr>
            <w:r>
              <w:t xml:space="preserve">Mitigação</w:t>
            </w:r>
          </w:p>
        </w:tc>
        <w:tc>
          <w:tcPr/>
          <w:p>
            <w:pPr>
              <w:pStyle w:val="Compact"/>
            </w:pPr>
            <w:r>
              <w:t xml:space="preserve">Dono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RT-01</w:t>
            </w:r>
          </w:p>
        </w:tc>
        <w:tc>
          <w:tcPr/>
          <w:p>
            <w:pPr>
              <w:pStyle w:val="Compact"/>
            </w:pPr>
            <w:r>
              <w:t xml:space="preserve">{{Acoplamento síncrono ao ERP}}</w:t>
            </w:r>
          </w:p>
        </w:tc>
        <w:tc>
          <w:tcPr/>
          <w:p>
            <w:pPr>
              <w:pStyle w:val="Compact"/>
            </w:pPr>
            <w:r>
              <w:t xml:space="preserve">Alto — indisponibilidade propaga</w:t>
            </w:r>
          </w:p>
        </w:tc>
        <w:tc>
          <w:tcPr/>
          <w:p>
            <w:pPr>
              <w:pStyle w:val="Compact"/>
            </w:pPr>
            <w:r>
              <w:t xml:space="preserve">Média</w:t>
            </w:r>
          </w:p>
        </w:tc>
        <w:tc>
          <w:tcPr/>
          <w:p>
            <w:pPr>
              <w:pStyle w:val="Compact"/>
            </w:pPr>
            <w:r>
              <w:t xml:space="preserve">{{Cache + modo degradado}}</w:t>
            </w:r>
          </w:p>
        </w:tc>
        <w:tc>
          <w:tcPr/>
          <w:p>
            <w:pPr>
              <w:pStyle w:val="Compact"/>
            </w:pPr>
            <w:r>
              <w:t xml:space="preserve">{{Nome}}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RT-02</w:t>
            </w:r>
          </w:p>
        </w:tc>
        <w:tc>
          <w:tcPr/>
          <w:p>
            <w:pPr>
              <w:pStyle w:val="Compact"/>
            </w:pPr>
            <w:r>
              <w:t xml:space="preserve">{{Sem testes de carga automatizados}}</w:t>
            </w:r>
          </w:p>
        </w:tc>
        <w:tc>
          <w:tcPr/>
          <w:p>
            <w:pPr>
              <w:pStyle w:val="Compact"/>
            </w:pPr>
            <w:r>
              <w:t xml:space="preserve">Médio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{{Adicionar ao CI no sprint {{n}}}}</w:t>
            </w:r>
          </w:p>
        </w:tc>
        <w:tc>
          <w:tcPr/>
          <w:p>
            <w:pPr>
              <w:pStyle w:val="Compact"/>
            </w:pPr>
            <w:r>
              <w:t xml:space="preserve">{{Nome}}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0"/>
    <w:bookmarkStart w:id="81" w:name="evolução-prevista"/>
    <w:p>
      <w:pPr>
        <w:pStyle w:val="Heading2"/>
      </w:pPr>
      <w:r>
        <w:t xml:space="preserve">11. Evolução prevista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Horizonte</w:t>
            </w:r>
          </w:p>
        </w:tc>
        <w:tc>
          <w:tcPr/>
          <w:p>
            <w:pPr>
              <w:pStyle w:val="Compact"/>
            </w:pPr>
            <w:r>
              <w:t xml:space="preserve">Mudança esperada</w:t>
            </w:r>
          </w:p>
        </w:tc>
        <w:tc>
          <w:tcPr/>
          <w:p>
            <w:pPr>
              <w:pStyle w:val="Compact"/>
            </w:pPr>
            <w:r>
              <w:t xml:space="preserve">Preparação atual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{{6 meses}}</w:t>
            </w:r>
          </w:p>
        </w:tc>
        <w:tc>
          <w:tcPr/>
          <w:p>
            <w:pPr>
              <w:pStyle w:val="Compact"/>
            </w:pPr>
            <w:r>
              <w:t xml:space="preserve">{{Multi-região}}</w:t>
            </w:r>
          </w:p>
        </w:tc>
        <w:tc>
          <w:tcPr/>
          <w:p>
            <w:pPr>
              <w:pStyle w:val="Compact"/>
            </w:pPr>
            <w:r>
              <w:t xml:space="preserve">{{Sem estado; sem afinidade de sessão}}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{{12 meses}}</w:t>
            </w:r>
          </w:p>
        </w:tc>
        <w:tc>
          <w:tcPr/>
          <w:p>
            <w:pPr>
              <w:pStyle w:val="Compact"/>
            </w:pPr>
            <w:r>
              <w:t xml:space="preserve">{{Extrair Inventário para serviço próprio}}</w:t>
            </w:r>
          </w:p>
        </w:tc>
        <w:tc>
          <w:tcPr/>
          <w:p>
            <w:pPr>
              <w:pStyle w:val="Compact"/>
            </w:pPr>
            <w:r>
              <w:t xml:space="preserve">{{Fronteiras de módulo já isoladas}}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1"/>
    <w:bookmarkStart w:id="83" w:name="glossário-técnico"/>
    <w:p>
      <w:pPr>
        <w:pStyle w:val="Heading2"/>
      </w:pPr>
      <w:r>
        <w:t xml:space="preserve">12. Glossário técnico</w:t>
      </w:r>
    </w:p>
    <w:p>
      <w:pPr>
        <w:pStyle w:val="FirstParagraph"/>
      </w:pPr>
      <w:r>
        <w:t xml:space="preserve">{{Termos específicos desta arquitetura. Domínio →</w:t>
      </w:r>
      <w:r>
        <w:t xml:space="preserve"> </w:t>
      </w:r>
      <w:hyperlink r:id="rId82">
        <w:r>
          <w:rPr>
            <w:rStyle w:val="Hyperlink"/>
          </w:rPr>
          <w:t xml:space="preserve">Glossário</w:t>
        </w:r>
      </w:hyperlink>
      <w:r>
        <w:t xml:space="preserve">}}</w:t>
      </w:r>
    </w:p>
    <w:bookmarkEnd w:id="83"/>
    <w:sectPr>
      <w:footerReference xmlns:r="http://schemas.openxmlformats.org/officeDocument/2006/relationships" r:id="rId40" w:type="default"/>
      <w:pgSz w:h="16838" w:w="11906"/>
      <w:pgMar w:bottom="1134" w:footer="709" w:gutter="0" w:header="709" w:left="1021" w:right="1021" w:top="1134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jc w:val="center"/>
      <w:pBdr>
        <w:top w:val="single" w:sz="4" w:space="6" w:color="D6DEE4"/>
      </w:pBdr>
      <w:spacing w:before="60" w:after="0"/>
    </w:pPr>
    <w:r>
      <w:rPr>
        <w:rFonts w:ascii="Calibri" w:hAnsi="Calibri"/>
        <w:sz w:val="16"/>
        <w:color w:val="7A868F"/>
      </w:rPr>
      <w:t xml:space="preserve">Pagina </w:t>
    </w:r>
    <w:r>
      <w:rPr>
        <w:sz w:val="16"/>
        <w:color w:val="7A868F"/>
      </w:rPr>
      <w:fldChar w:fldCharType="begin"/>
    </w:r>
    <w:r>
      <w:rPr>
        <w:sz w:val="16"/>
        <w:color w:val="7A868F"/>
      </w:rPr>
      <w:instrText xml:space="preserve"> PAGE </w:instrText>
    </w:r>
    <w:r>
      <w:rPr>
        <w:sz w:val="16"/>
        <w:color w:val="7A868F"/>
      </w:rPr>
      <w:fldChar w:fldCharType="separate"/>
    </w:r>
    <w:r>
      <w:rPr>
        <w:sz w:val="16"/>
        <w:color w:val="7A868F"/>
      </w:rPr>
      <w:t>1</w:t>
    </w:r>
    <w:r>
      <w:rPr>
        <w:sz w:val="16"/>
        <w:color w:val="7A868F"/>
      </w:rPr>
      <w:fldChar w:fldCharType="end"/>
    </w:r>
    <w:r>
      <w:rPr>
        <w:rFonts w:ascii="Calibri" w:hAnsi="Calibri"/>
        <w:sz w:val="16"/>
        <w:color w:val="7A868F"/>
      </w:rPr>
      <w:t xml:space="preserve"> de </w:t>
    </w:r>
    <w:r>
      <w:rPr>
        <w:sz w:val="16"/>
        <w:color w:val="7A868F"/>
      </w:rPr>
      <w:fldChar w:fldCharType="begin"/>
    </w:r>
    <w:r>
      <w:rPr>
        <w:sz w:val="16"/>
        <w:color w:val="7A868F"/>
      </w:rPr>
      <w:instrText xml:space="preserve"> NUMPAGES </w:instrText>
    </w:r>
    <w:r>
      <w:rPr>
        <w:sz w:val="16"/>
        <w:color w:val="7A868F"/>
      </w:rPr>
      <w:fldChar w:fldCharType="separate"/>
    </w:r>
    <w:r>
      <w:rPr>
        <w:sz w:val="16"/>
        <w:color w:val="7A868F"/>
      </w:rPr>
      <w:t>1</w:t>
    </w:r>
    <w:r>
      <w:rPr>
        <w:sz w:val="16"/>
        <w:color w:val="7A868F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pt-PT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before="0" w:line="264" w:lineRule="auto"/>
    </w:pPr>
    <w:rPr>
      <w:rFonts w:ascii="Calibri" w:cs="Calibri" w:hAnsi="Calibri"/>
      <w:sz w:val="21"/>
      <w:szCs w:val="21"/>
      <w:lang w:bidi="ar-SA" w:eastAsia="pt-PT" w:val="pt-PT"/>
    </w:rPr>
  </w:style>
  <w:style w:styleId="BodyText" w:type="paragraph">
    <w:name w:val="Body Text"/>
    <w:basedOn w:val="Normal"/>
    <w:link w:val="BodyTextChar"/>
    <w:qFormat/>
    <w:pPr>
      <w:spacing w:after="120" w:before="6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20" w:before="20"/>
    </w:pPr>
  </w:style>
  <w:style w:styleId="Title" w:type="paragraph">
    <w:name w:val="Title"/>
    <w:basedOn w:val="Normal"/>
    <w:next w:val="BodyText"/>
    <w:qFormat/>
    <w:pPr>
      <w:keepNext/>
      <w:spacing w:after="120" w:before="0"/>
      <w:pBdr>
        <w:bottom w:color="EF7B10" w:space="6" w:sz="18" w:val="single"/>
      </w:pBdr>
    </w:pPr>
    <w:rPr>
      <w:rFonts w:ascii="Calibri" w:hAnsi="Calibri"/>
      <w:b/>
      <w:color w:val="2224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2514E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pPr>
      <w:keepNext/>
      <w:keepLines/>
      <w:spacing w:after="140" w:before="360"/>
      <w:pBdr>
        <w:bottom w:color="BA5C00" w:space="4" w:sz="6" w:val="single"/>
      </w:pBdr>
      <w:outlineLvl w:val="0"/>
    </w:pPr>
    <w:rPr>
      <w:rFonts w:ascii="Calibri" w:hAnsi="Calibri"/>
      <w:b/>
      <w:color w:val="222428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qFormat/>
    <w:pPr>
      <w:keepNext/>
      <w:keepLines/>
      <w:spacing w:after="110" w:before="280"/>
      <w:outlineLvl w:val="1"/>
    </w:pPr>
    <w:rPr>
      <w:rFonts w:ascii="Calibri" w:hAnsi="Calibri"/>
      <w:b/>
      <w:color w:val="00537E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qFormat/>
    <w:pPr>
      <w:keepNext/>
      <w:keepLines/>
      <w:spacing w:after="90" w:before="220"/>
      <w:outlineLvl w:val="2"/>
    </w:pPr>
    <w:rPr>
      <w:rFonts w:ascii="Calibri" w:hAnsi="Calibri"/>
      <w:b/>
      <w:color w:val="222428"/>
      <w:sz w:val="23"/>
      <w:szCs w:val="23"/>
    </w:rPr>
  </w:style>
  <w:style w:styleId="Heading4" w:type="paragraph">
    <w:name w:val="heading 4"/>
    <w:basedOn w:val="Normal"/>
    <w:next w:val="BodyText"/>
    <w:link w:val="Heading4Char"/>
    <w:uiPriority w:val="9"/>
    <w:qFormat/>
    <w:pPr>
      <w:keepNext/>
      <w:keepLines/>
      <w:spacing w:after="80" w:before="180"/>
      <w:outlineLvl w:val="3"/>
    </w:pPr>
    <w:rPr>
      <w:rFonts w:ascii="Calibri" w:hAnsi="Calibri"/>
      <w:b/>
      <w:color w:val="222428"/>
      <w:sz w:val="21"/>
      <w:szCs w:val="2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222428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2514E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2514E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52514E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52514E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222428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222428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222428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222428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222428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2514E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2514E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52514E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52514E"/>
    </w:rPr>
  </w:style>
  <w:style w:styleId="BlockText" w:type="paragraph">
    <w:name w:val="Block Text"/>
    <w:basedOn w:val="Normal"/>
    <w:qFormat/>
    <w:pPr>
      <w:spacing w:after="120" w:before="120"/>
      <w:ind w:left="240" w:right="120"/>
      <w:shd w:color="auto" w:fill="FEE1CE" w:val="clear"/>
      <w:pBdr>
        <w:left w:color="EF7B10" w:space="8" w:sz="18" w:val="single"/>
      </w:pBdr>
    </w:pPr>
    <w:rPr>
      <w:color w:val="52514E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pPr>
      <w:spacing w:after="20" w:before="20" w:line="240" w:lineRule="auto"/>
    </w:pPr>
    <w:rPr>
      <w:sz w:val="19"/>
      <w:szCs w:val="19"/>
    </w:rPr>
    <w:tblPr>
      <w:tblInd w:type="dxa" w:w="0"/>
      <w:tblBorders>
        <w:top w:color="BFC0C2" w:sz="4" w:val="single"/>
        <w:left w:color="BFC0C2" w:sz="4" w:val="single"/>
        <w:bottom w:color="BFC0C2" w:sz="4" w:val="single"/>
        <w:right w:color="BFC0C2" w:sz="4" w:val="single"/>
        <w:insideH w:color="BFC0C2" w:sz="4" w:val="single"/>
        <w:insideV w:color="BFC0C2" w:sz="4" w:val="single"/>
      </w:tblBorders>
      <w:tblCellMar>
        <w:top w:type="dxa" w:w="60"/>
        <w:left w:type="dxa" w:w="108"/>
        <w:bottom w:type="dxa" w:w="60"/>
        <w:right w:type="dxa" w:w="108"/>
      </w:tblCellMar>
    </w:tblPr>
    <w:tblStylePr w:type="firstRow">
      <w:pPr>
        <w:keepNext/>
      </w:pPr>
      <w:rPr>
        <w:b/>
        <w:color w:val="FFFFFF"/>
      </w:rPr>
      <w:tcPr>
        <w:shd w:color="auto" w:fill="00537E" w:val="clear"/>
        <w:tcBorders>
          <w:bottom w:color="BFC0C2" w:sz="4" w:val="single"/>
        </w:tcBorders>
        <w:vAlign w:val="center"/>
      </w:tcPr>
    </w:tblStylePr>
    <w:tblStylePr w:type="band2Horz">
      <w:tcPr>
        <w:shd w:color="auto" w:fill="F7F8FA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styleId="ImageCaption" w:type="paragraph">
    <w:name w:val="Image Caption"/>
    <w:basedOn w:val="Normal"/>
    <w:qFormat/>
    <w:pPr>
      <w:jc w:val="center"/>
      <w:spacing w:after="200" w:before="60"/>
    </w:pPr>
    <w:rPr>
      <w:i/>
      <w:color w:val="6B6E74"/>
      <w:sz w:val="18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18"/>
      <w:szCs w:val="18"/>
      <w:color w:val="00537E"/>
      <w:shd w:color="auto" w:fill="ECEFF3" w:val="clear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00537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222428"/>
    </w:rPr>
  </w:style>
  <w:style w:customStyle="1" w:styleId="SourceCode" w:type="paragraph">
    <w:name w:val="Source Code"/>
    <w:basedOn w:val="Normal"/>
    <w:qFormat/>
    <w:pPr>
      <w:keepLines/>
      <w:spacing w:after="0" w:before="0" w:line="240" w:lineRule="auto"/>
      <w:ind w:left="120" w:right="120"/>
      <w:shd w:color="auto" w:fill="ECEFF3" w:val="clear"/>
      <w:pBdr>
        <w:top w:color="BFC0C2" w:space="2" w:sz="4" w:val="single"/>
        <w:left w:color="BA5C00" w:space="4" w:sz="18" w:val="single"/>
        <w:bottom w:color="BFC0C2" w:space="2" w:sz="4" w:val="single"/>
        <w:right w:color="BFC0C2" w:space="2" w:sz="4" w:val="single"/>
      </w:pBdr>
    </w:pPr>
    <w:rPr>
      <w:rFonts w:ascii="Consolas" w:hAnsi="Consolas"/>
      <w:sz w:val="17"/>
      <w:szCs w:val="17"/>
    </w:rPr>
  </w:style>
  <w:style w:customStyle="1" w:styleId="KeywordTok" w:type="character">
    <w:name w:val="KeywordTok"/>
    <w:basedOn w:val="VerbatimChar"/>
    <w:rPr>
      <w:b/>
      <w:color w:val="00537e"/>
    </w:rPr>
  </w:style>
  <w:style w:customStyle="1" w:styleId="DataTypeTok" w:type="character">
    <w:name w:val="DataTypeTok"/>
    <w:basedOn w:val="VerbatimChar"/>
    <w:rPr>
      <w:color w:val="00679e"/>
    </w:rPr>
  </w:style>
  <w:style w:customStyle="1" w:styleId="DecValTok" w:type="character">
    <w:name w:val="DecValTok"/>
    <w:basedOn w:val="VerbatimChar"/>
    <w:rPr>
      <w:color w:val="876c0d"/>
    </w:rPr>
  </w:style>
  <w:style w:customStyle="1" w:styleId="BaseNTok" w:type="character">
    <w:name w:val="BaseNTok"/>
    <w:basedOn w:val="VerbatimChar"/>
    <w:rPr>
      <w:color w:val="876c0d"/>
    </w:rPr>
  </w:style>
  <w:style w:customStyle="1" w:styleId="FloatTok" w:type="character">
    <w:name w:val="FloatTok"/>
    <w:basedOn w:val="VerbatimChar"/>
    <w:rPr>
      <w:color w:val="876c0d"/>
    </w:rPr>
  </w:style>
  <w:style w:customStyle="1" w:styleId="ConstantTok" w:type="character">
    <w:name w:val="ConstantTok"/>
    <w:basedOn w:val="VerbatimChar"/>
    <w:rPr>
      <w:color w:val="876c0d"/>
    </w:rPr>
  </w:style>
  <w:style w:customStyle="1" w:styleId="CharTok" w:type="character">
    <w:name w:val="CharTok"/>
    <w:basedOn w:val="VerbatimChar"/>
    <w:rPr>
      <w:color w:val="367c2b"/>
    </w:rPr>
  </w:style>
  <w:style w:customStyle="1" w:styleId="SpecialCharTok" w:type="character">
    <w:name w:val="SpecialCharTok"/>
    <w:basedOn w:val="VerbatimChar"/>
    <w:rPr>
      <w:color w:val="a2451c"/>
    </w:rPr>
  </w:style>
  <w:style w:customStyle="1" w:styleId="StringTok" w:type="character">
    <w:name w:val="StringTok"/>
    <w:basedOn w:val="VerbatimChar"/>
    <w:rPr>
      <w:color w:val="367c2b"/>
    </w:rPr>
  </w:style>
  <w:style w:customStyle="1" w:styleId="VerbatimStringTok" w:type="character">
    <w:name w:val="VerbatimStringTok"/>
    <w:basedOn w:val="VerbatimChar"/>
    <w:rPr>
      <w:color w:val="367c2b"/>
    </w:rPr>
  </w:style>
  <w:style w:customStyle="1" w:styleId="SpecialStringTok" w:type="character">
    <w:name w:val="SpecialStringTok"/>
    <w:basedOn w:val="VerbatimChar"/>
    <w:rPr>
      <w:color w:val="367c2b"/>
    </w:rPr>
  </w:style>
  <w:style w:customStyle="1" w:styleId="ImportTok" w:type="character">
    <w:name w:val="ImportTok"/>
    <w:basedOn w:val="VerbatimChar"/>
    <w:rPr>
      <w:b/>
      <w:color w:val="00537e"/>
    </w:rPr>
  </w:style>
  <w:style w:customStyle="1" w:styleId="CommentTok" w:type="character">
    <w:name w:val="CommentTok"/>
    <w:basedOn w:val="VerbatimChar"/>
    <w:rPr>
      <w:i/>
      <w:color w:val="6b6e74"/>
    </w:rPr>
  </w:style>
  <w:style w:customStyle="1" w:styleId="DocumentationTok" w:type="character">
    <w:name w:val="DocumentationTok"/>
    <w:basedOn w:val="VerbatimChar"/>
    <w:rPr>
      <w:i/>
      <w:color w:val="6b6e74"/>
    </w:rPr>
  </w:style>
  <w:style w:customStyle="1" w:styleId="AnnotationTok" w:type="character">
    <w:name w:val="AnnotationTok"/>
    <w:basedOn w:val="VerbatimChar"/>
    <w:rPr>
      <w:i/>
      <w:color w:val="6b6e74"/>
    </w:rPr>
  </w:style>
  <w:style w:customStyle="1" w:styleId="CommentVarTok" w:type="character">
    <w:name w:val="CommentVarTok"/>
    <w:basedOn w:val="VerbatimChar"/>
    <w:rPr>
      <w:i/>
      <w:color w:val="6b6e74"/>
    </w:rPr>
  </w:style>
  <w:style w:customStyle="1" w:styleId="OtherTok" w:type="character">
    <w:name w:val="OtherTok"/>
    <w:basedOn w:val="VerbatimChar"/>
    <w:rPr>
      <w:color w:val="222428"/>
    </w:rPr>
  </w:style>
  <w:style w:customStyle="1" w:styleId="FunctionTok" w:type="character">
    <w:name w:val="FunctionTok"/>
    <w:basedOn w:val="VerbatimChar"/>
    <w:rPr>
      <w:color w:val="00679e"/>
    </w:rPr>
  </w:style>
  <w:style w:customStyle="1" w:styleId="VariableTok" w:type="character">
    <w:name w:val="VariableTok"/>
    <w:basedOn w:val="VerbatimChar"/>
    <w:rPr>
      <w:color w:val="222428"/>
    </w:rPr>
  </w:style>
  <w:style w:customStyle="1" w:styleId="ControlFlowTok" w:type="character">
    <w:name w:val="ControlFlowTok"/>
    <w:basedOn w:val="VerbatimChar"/>
    <w:rPr>
      <w:b/>
      <w:color w:val="00537e"/>
    </w:rPr>
  </w:style>
  <w:style w:customStyle="1" w:styleId="OperatorTok" w:type="character">
    <w:name w:val="OperatorTok"/>
    <w:basedOn w:val="VerbatimChar"/>
    <w:rPr>
      <w:color w:val="222428"/>
    </w:rPr>
  </w:style>
  <w:style w:customStyle="1" w:styleId="BuiltInTok" w:type="character">
    <w:name w:val="BuiltInTok"/>
    <w:basedOn w:val="VerbatimChar"/>
    <w:rPr>
      <w:color w:val="222428"/>
    </w:rPr>
  </w:style>
  <w:style w:customStyle="1" w:styleId="ExtensionTok" w:type="character">
    <w:name w:val="ExtensionTok"/>
    <w:basedOn w:val="VerbatimChar"/>
    <w:rPr>
      <w:color w:val="222428"/>
    </w:rPr>
  </w:style>
  <w:style w:customStyle="1" w:styleId="PreprocessorTok" w:type="character">
    <w:name w:val="PreprocessorTok"/>
    <w:basedOn w:val="VerbatimChar"/>
    <w:rPr>
      <w:color w:val="a2451c"/>
    </w:rPr>
  </w:style>
  <w:style w:customStyle="1" w:styleId="AttributeTok" w:type="character">
    <w:name w:val="AttributeTok"/>
    <w:basedOn w:val="VerbatimChar"/>
    <w:rPr>
      <w:color w:val="00679e"/>
    </w:rPr>
  </w:style>
  <w:style w:customStyle="1" w:styleId="RegionMarkerTok" w:type="character">
    <w:name w:val="RegionMarkerTok"/>
    <w:basedOn w:val="VerbatimChar"/>
    <w:rPr>
      <w:color w:val="222428"/>
    </w:rPr>
  </w:style>
  <w:style w:customStyle="1" w:styleId="InformationTok" w:type="character">
    <w:name w:val="InformationTok"/>
    <w:basedOn w:val="VerbatimChar"/>
    <w:rPr>
      <w:i/>
      <w:color w:val="6b6e74"/>
    </w:rPr>
  </w:style>
  <w:style w:customStyle="1" w:styleId="WarningTok" w:type="character">
    <w:name w:val="WarningTok"/>
    <w:basedOn w:val="VerbatimChar"/>
    <w:rPr>
      <w:b/>
      <w:color w:val="876c0d"/>
    </w:rPr>
  </w:style>
  <w:style w:customStyle="1" w:styleId="AlertTok" w:type="character">
    <w:name w:val="AlertTok"/>
    <w:basedOn w:val="VerbatimChar"/>
    <w:rPr>
      <w:b/>
      <w:color w:val="cf372d"/>
    </w:rPr>
  </w:style>
  <w:style w:customStyle="1" w:styleId="ErrorTok" w:type="character">
    <w:name w:val="ErrorTok"/>
    <w:basedOn w:val="VerbatimChar"/>
    <w:rPr>
      <w:b/>
      <w:color w:val="cf372d"/>
    </w:rPr>
  </w:style>
  <w:style w:customStyle="1" w:styleId="NormalTok" w:type="character">
    <w:name w:val="NormalTok"/>
    <w:basedOn w:val="VerbatimChar"/>
    <w:rPr>
      <w:color w:val="22242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48" Target="numbering.xml" /><Relationship Type="http://schemas.openxmlformats.org/officeDocument/2006/relationships/styles" Id="rId47" Target="styles.xml" /><Relationship Type="http://schemas.openxmlformats.org/officeDocument/2006/relationships/settings" Id="rId46" Target="settings.xml" /><Relationship Type="http://schemas.openxmlformats.org/officeDocument/2006/relationships/webSettings" Id="rId45" Target="webSettings.xml" /><Relationship Type="http://schemas.openxmlformats.org/officeDocument/2006/relationships/fontTable" Id="rId44" Target="fontTable.xml" /><Relationship Type="http://schemas.openxmlformats.org/officeDocument/2006/relationships/theme" Id="rId43" Target="theme/theme1.xml" /><Relationship Type="http://schemas.openxmlformats.org/officeDocument/2006/relationships/footnotes" Id="rId42" Target="footnotes.xml" /><Relationship Type="http://schemas.openxmlformats.org/officeDocument/2006/relationships/comments" Id="rId41" Target="comments.xml" /><Relationship Id="rId40" Target="footer1.xml" Type="http://schemas.openxmlformats.org/officeDocument/2006/relationships/footer" /><Relationship Type="http://schemas.openxmlformats.org/officeDocument/2006/relationships/image" Id="rId60" Target="media/rId60.png" /><Relationship Type="http://schemas.openxmlformats.org/officeDocument/2006/relationships/image" Id="rId64" Target="media/rId64.png" /><Relationship Type="http://schemas.openxmlformats.org/officeDocument/2006/relationships/image" Id="rId69" Target="media/rId69.png" /><Relationship Type="http://schemas.openxmlformats.org/officeDocument/2006/relationships/hyperlink" Id="rId51" Target="../00-produto/01-visao-produto.md" TargetMode="External" /><Relationship Type="http://schemas.openxmlformats.org/officeDocument/2006/relationships/hyperlink" Id="rId52" Target="../01-requisitos/03-requisitos-nao-funcionais.md" TargetMode="External" /><Relationship Type="http://schemas.openxmlformats.org/officeDocument/2006/relationships/hyperlink" Id="rId82" Target="../01-requisitos/06-glossario.md" TargetMode="External" /><Relationship Type="http://schemas.openxmlformats.org/officeDocument/2006/relationships/hyperlink" Id="rId75" Target="../02-analise/02-diagrama-casos-uso.md#4-implanta&#231;&#227;o-implanta&#231;&#227;o" TargetMode="External" /><Relationship Type="http://schemas.openxmlformats.org/officeDocument/2006/relationships/hyperlink" Id="rId78" Target="02-modelo-decisao-arquitetura.md" TargetMode="External" /><Relationship Type="http://schemas.openxmlformats.org/officeDocument/2006/relationships/hyperlink" Id="rId73" Target="03-modelo-dados.md" TargetMode="External" /><Relationship Type="http://schemas.openxmlformats.org/officeDocument/2006/relationships/hyperlink" Id="rId53" Target="decisoes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1" Target="../00-produto/01-visao-produto.md" TargetMode="External" /><Relationship Type="http://schemas.openxmlformats.org/officeDocument/2006/relationships/hyperlink" Id="rId52" Target="../01-requisitos/03-requisitos-nao-funcionais.md" TargetMode="External" /><Relationship Type="http://schemas.openxmlformats.org/officeDocument/2006/relationships/hyperlink" Id="rId82" Target="../01-requisitos/06-glossario.md" TargetMode="External" /><Relationship Type="http://schemas.openxmlformats.org/officeDocument/2006/relationships/hyperlink" Id="rId75" Target="../02-analise/02-diagrama-casos-uso.md#4-implanta&#231;&#227;o-implanta&#231;&#227;o" TargetMode="External" /><Relationship Type="http://schemas.openxmlformats.org/officeDocument/2006/relationships/hyperlink" Id="rId78" Target="02-modelo-decisao-arquitetura.md" TargetMode="External" /><Relationship Type="http://schemas.openxmlformats.org/officeDocument/2006/relationships/hyperlink" Id="rId73" Target="03-modelo-dados.md" TargetMode="External" /><Relationship Type="http://schemas.openxmlformats.org/officeDocument/2006/relationships/hyperlink" Id="rId53" Target="decisoes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de Arquitetura de Software — {{PROJETO}}</dc:title>
  <dc:creator/>
  <dc:language>pt-PT</dc:language>
  <cp:keywords/>
  <dcterms:created xsi:type="dcterms:W3CDTF">2026-08-24T15:59:17Z</dcterms:created>
  <dcterms:modified xsi:type="dcterms:W3CDTF">2026-08-24T15:59:17Z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