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ADR-{{NNN}} — {{Título da decisão em forma de afirmação}}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copiar para</w:t>
      </w:r>
      <w:r>
        <w:t xml:space="preserve"> </w:t>
      </w:r>
      <w:r>
        <w:rPr>
          <w:rStyle w:val="VerbatimChar"/>
        </w:rPr>
        <w:t xml:space="preserve">adr/NNN-titulo-curto.md</w:t>
      </w:r>
      <w:r>
        <w:t xml:space="preserve">. Numeração sequencial, nunca reutilizada. Um ADR é</w:t>
      </w:r>
      <w:r>
        <w:t xml:space="preserve"> </w:t>
      </w:r>
      <w:r>
        <w:rPr>
          <w:b/>
          <w:bCs/>
        </w:rPr>
        <w:t xml:space="preserve">imutável</w:t>
      </w:r>
      <w:r>
        <w:t xml:space="preserve"> </w:t>
      </w:r>
      <w:r>
        <w:t xml:space="preserve">depois de aceite — para mudar, cria-se um novo que o substitui (</w:t>
      </w:r>
      <w:r>
        <w:rPr>
          <w:rStyle w:val="VerbatimChar"/>
        </w:rPr>
        <w:t xml:space="preserve">Substitui ADR-XXX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Proposto | Aceite | Rejeitado | Substituído por ADR-{{NNN}} | Descontinuado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Decisores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Consultados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Informados</w:t>
            </w:r>
          </w:p>
        </w:tc>
        <w:tc>
          <w:tcPr/>
          <w:p>
            <w:pPr>
              <w:pStyle w:val="Compact"/>
            </w:pPr>
            <w:r>
              <w:t xml:space="preserve">{{Nomes/equipas}}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Substitui</w:t>
            </w:r>
          </w:p>
        </w:tc>
        <w:tc>
          <w:tcPr/>
          <w:p>
            <w:pPr>
              <w:pStyle w:val="Compact"/>
            </w:pPr>
            <w:r>
              <w:t xml:space="preserve">{{ADR-XXX ou —}}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Relacionado com</w:t>
            </w:r>
          </w:p>
        </w:tc>
        <w:tc>
          <w:tcPr/>
          <w:p>
            <w:pPr>
              <w:pStyle w:val="Compact"/>
            </w:pPr>
            <w:r>
              <w:t xml:space="preserve">{{ADR-YYY, RNF-01, RF-07}}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contexto-e-problema"/>
    <w:p>
      <w:pPr>
        <w:pStyle w:val="Heading2"/>
      </w:pPr>
      <w:r>
        <w:t xml:space="preserve">Contexto e problema</w:t>
      </w:r>
    </w:p>
    <w:p>
      <w:pPr>
        <w:pStyle w:val="FirstParagraph"/>
      </w:pPr>
      <w:r>
        <w:t xml:space="preserve">{{Qual é a força que nos obriga a decidir? Descreve os factos, não a solução. Inclui restrições reais (prazo, competências, contrato) — são parte legítima do contexto e explicam decisões que de outro modo parecem irracionais no futuro.}}</w:t>
      </w:r>
    </w:p>
    <w:p>
      <w:pPr>
        <w:pStyle w:val="BodyText"/>
      </w:pPr>
      <w:r>
        <w:rPr>
          <w:b/>
          <w:bCs/>
        </w:rPr>
        <w:t xml:space="preserve">Pergunta a decidir:</w:t>
      </w:r>
      <w:r>
        <w:t xml:space="preserve"> </w:t>
      </w:r>
      <w:r>
        <w:t xml:space="preserve">{{Formulada como pergunta:</w:t>
      </w:r>
      <w:r>
        <w:t xml:space="preserve"> </w:t>
      </w:r>
      <w:r>
        <w:t xml:space="preserve">“Como devemos armazenar X, dado que Y?”</w:t>
      </w:r>
      <w:r>
        <w:t xml:space="preserve">}}</w:t>
      </w:r>
    </w:p>
    <w:p>
      <w:pPr>
        <w:pStyle w:val="BodyText"/>
      </w:pPr>
      <w:r>
        <w:rPr>
          <w:b/>
          <w:bCs/>
        </w:rPr>
        <w:t xml:space="preserve">Critérios de decisão</w:t>
      </w:r>
      <w:r>
        <w:t xml:space="preserve"> </w:t>
      </w:r>
      <w:r>
        <w:t xml:space="preserve">| # | Critério | Peso | Porquê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C1 | {{Latência de leitura}} | Alto | {{RNF-01}} |</w:t>
      </w:r>
      <w:r>
        <w:t xml:space="preserve"> </w:t>
      </w:r>
      <w:r>
        <w:t xml:space="preserve">| C2 | {{Competências da equipa}} | Alto | {{Equipa de 5, sem experiência em {{X}}}} |</w:t>
      </w:r>
      <w:r>
        <w:t xml:space="preserve"> </w:t>
      </w:r>
      <w:r>
        <w:t xml:space="preserve">| C3 | {{Custo operacional}} | Médio | {{RNF-46}} |</w:t>
      </w:r>
      <w:r>
        <w:t xml:space="preserve"> </w:t>
      </w:r>
      <w:r>
        <w:t xml:space="preserve">| C4 | {{Maturidade e comunidade}} | Médio | |</w:t>
      </w:r>
    </w:p>
    <w:p>
      <w:r>
        <w:pict>
          <v:rect style="width:0;height:1.5pt" o:hralign="center" o:hrstd="t" o:hr="t"/>
        </w:pict>
      </w:r>
    </w:p>
    <w:bookmarkEnd w:id="49"/>
    <w:bookmarkStart w:id="54" w:name="opções-consideradas"/>
    <w:p>
      <w:pPr>
        <w:pStyle w:val="Heading2"/>
      </w:pPr>
      <w:r>
        <w:t xml:space="preserve">Opções consideradas</w:t>
      </w:r>
    </w:p>
    <w:bookmarkStart w:id="50" w:name="opção-a"/>
    <w:p>
      <w:pPr>
        <w:pStyle w:val="Heading3"/>
      </w:pPr>
      <w:r>
        <w:t xml:space="preserve">Opção A — {{…}}</w:t>
      </w:r>
    </w:p>
    <w:p>
      <w:pPr>
        <w:pStyle w:val="FirstParagraph"/>
      </w:pPr>
      <w:r>
        <w:t xml:space="preserve">{{Descrição em 2-3 linhas}}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Prós</w:t>
            </w:r>
          </w:p>
        </w:tc>
        <w:tc>
          <w:tcPr/>
          <w:p>
            <w:pPr>
              <w:pStyle w:val="Compact"/>
            </w:pPr>
            <w:r>
              <w:t xml:space="preserve">Contras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 estimado: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Esforço de adoção: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Reversibilidade:</w:t>
      </w:r>
      <w:r>
        <w:t xml:space="preserve"> </w:t>
      </w:r>
      <w:r>
        <w:t xml:space="preserve">{{Fácil/Difícil}}</w:t>
      </w:r>
    </w:p>
    <w:bookmarkEnd w:id="50"/>
    <w:bookmarkStart w:id="51" w:name="opção-b"/>
    <w:p>
      <w:pPr>
        <w:pStyle w:val="Heading3"/>
      </w:pPr>
      <w:r>
        <w:t xml:space="preserve">Opção B — {{…}}</w:t>
      </w:r>
    </w:p>
    <w:p>
      <w:pPr>
        <w:pStyle w:val="FirstParagraph"/>
      </w:pPr>
      <w:r>
        <w:t xml:space="preserve">{{…}}</w:t>
      </w:r>
    </w:p>
    <w:bookmarkEnd w:id="51"/>
    <w:bookmarkStart w:id="52" w:name="opção-c-não-fazer-nada-manter-o-atual"/>
    <w:p>
      <w:pPr>
        <w:pStyle w:val="Heading3"/>
      </w:pPr>
      <w:r>
        <w:t xml:space="preserve">Opção C — Não fazer nada / manter o atual</w:t>
      </w:r>
    </w:p>
    <w:p>
      <w:pPr>
        <w:pStyle w:val="FirstParagraph"/>
      </w:pPr>
      <w:r>
        <w:t xml:space="preserve">{{Sempre incluir. Qual é o custo de não decidir?}}</w:t>
      </w:r>
    </w:p>
    <w:bookmarkEnd w:id="52"/>
    <w:bookmarkStart w:id="53" w:name="comparação"/>
    <w:p>
      <w:pPr>
        <w:pStyle w:val="Heading3"/>
      </w:pPr>
      <w:r>
        <w:t xml:space="preserve">Comparação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Opção A</w:t>
            </w:r>
          </w:p>
        </w:tc>
        <w:tc>
          <w:tcPr/>
          <w:p>
            <w:pPr>
              <w:pStyle w:val="Compact"/>
            </w:pPr>
            <w:r>
              <w:t xml:space="preserve">Opção B</w:t>
            </w:r>
          </w:p>
        </w:tc>
        <w:tc>
          <w:tcPr/>
          <w:p>
            <w:pPr>
              <w:pStyle w:val="Compact"/>
            </w:pPr>
            <w:r>
              <w:t xml:space="preserve">Opção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{{Latência}}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 (9)</w:t>
            </w:r>
          </w:p>
        </w:tc>
        <w:tc>
          <w:tcPr/>
          <w:p>
            <w:pPr>
              <w:pStyle w:val="Compact"/>
            </w:pPr>
            <w:r>
              <w:t xml:space="preserve">2 (6)</w:t>
            </w:r>
          </w:p>
        </w:tc>
        <w:tc>
          <w:tcPr/>
          <w:p>
            <w:pPr>
              <w:pStyle w:val="Compact"/>
            </w:pPr>
            <w:r>
              <w:t xml:space="preserve">1 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{{Competências}}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 (6)</w:t>
            </w:r>
          </w:p>
        </w:tc>
        <w:tc>
          <w:tcPr/>
          <w:p>
            <w:pPr>
              <w:pStyle w:val="Compact"/>
            </w:pPr>
            <w:r>
              <w:t xml:space="preserve">3 (9)</w:t>
            </w:r>
          </w:p>
        </w:tc>
        <w:tc>
          <w:tcPr/>
          <w:p>
            <w:pPr>
              <w:pStyle w:val="Compact"/>
            </w:pPr>
            <w:r>
              <w:t xml:space="preserve">3 (9)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{{Custo}}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(4)</w:t>
            </w:r>
          </w:p>
        </w:tc>
        <w:tc>
          <w:tcPr/>
          <w:p>
            <w:pPr>
              <w:pStyle w:val="Compact"/>
            </w:pPr>
            <w:r>
              <w:t xml:space="preserve">3 (6)</w:t>
            </w:r>
          </w:p>
        </w:tc>
        <w:tc>
          <w:tcPr/>
          <w:p>
            <w:pPr>
              <w:pStyle w:val="Compact"/>
            </w:pPr>
            <w:r>
              <w:t xml:space="preserve">3 (6)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</w:tbl>
    <w:p>
      <w:pPr>
        <w:pStyle w:val="BlockText"/>
      </w:pPr>
      <w:r>
        <w:t xml:space="preserve">A tabela informa, não decide. Se a decisão contraria a pontuação, explica porquê.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decisão"/>
    <w:p>
      <w:pPr>
        <w:pStyle w:val="Heading2"/>
      </w:pPr>
      <w:r>
        <w:t xml:space="preserve">Decisão</w:t>
      </w:r>
    </w:p>
    <w:p>
      <w:pPr>
        <w:pStyle w:val="FirstParagraph"/>
      </w:pPr>
      <w:r>
        <w:rPr>
          <w:b/>
          <w:bCs/>
        </w:rPr>
        <w:t xml:space="preserve">Escolhemos a Opção {{B}} — {{nome}}.</w:t>
      </w:r>
    </w:p>
    <w:p>
      <w:pPr>
        <w:pStyle w:val="BodyText"/>
      </w:pPr>
      <w:r>
        <w:t xml:space="preserve">{{Justificação em 3-5 linhas. Explicita o trade-off aceite:</w:t>
      </w:r>
      <w:r>
        <w:t xml:space="preserve"> </w:t>
      </w:r>
      <w:r>
        <w:t xml:space="preserve">“Aceitamos {{pior latência}} em troca de {{menor risco de execução}}, porque {{…}}”</w:t>
      </w:r>
      <w:r>
        <w:t xml:space="preserve">.}}</w:t>
      </w:r>
    </w:p>
    <w:p>
      <w:r>
        <w:pict>
          <v:rect style="width:0;height:1.5pt" o:hralign="center" o:hrstd="t" o:hr="t"/>
        </w:pict>
      </w:r>
    </w:p>
    <w:bookmarkEnd w:id="55"/>
    <w:bookmarkStart w:id="60" w:name="consequências"/>
    <w:p>
      <w:pPr>
        <w:pStyle w:val="Heading2"/>
      </w:pPr>
      <w:r>
        <w:t xml:space="preserve">Consequências</w:t>
      </w:r>
    </w:p>
    <w:bookmarkStart w:id="56" w:name="positivas"/>
    <w:p>
      <w:pPr>
        <w:pStyle w:val="Heading3"/>
      </w:pPr>
      <w:r>
        <w:t xml:space="preserve">Positivas</w:t>
      </w:r>
    </w:p>
    <w:p>
      <w:pPr>
        <w:pStyle w:val="Compact"/>
        <w:numPr>
          <w:ilvl w:val="0"/>
          <w:numId w:val="1001"/>
        </w:numPr>
      </w:pPr>
      <w:r>
        <w:t xml:space="preserve">{{…}}</w:t>
      </w:r>
    </w:p>
    <w:bookmarkEnd w:id="56"/>
    <w:bookmarkStart w:id="57" w:name="negativas-aceites-conscientemente"/>
    <w:p>
      <w:pPr>
        <w:pStyle w:val="Heading3"/>
      </w:pPr>
      <w:r>
        <w:t xml:space="preserve">Negativas (aceites conscientemente)</w:t>
      </w:r>
    </w:p>
    <w:p>
      <w:pPr>
        <w:pStyle w:val="Compact"/>
        <w:numPr>
          <w:ilvl w:val="0"/>
          <w:numId w:val="1002"/>
        </w:numPr>
      </w:pPr>
      <w:r>
        <w:t xml:space="preserve">{{…}} —</w:t>
      </w:r>
      <w:r>
        <w:t xml:space="preserve"> </w:t>
      </w:r>
      <w:r>
        <w:rPr>
          <w:i/>
          <w:iCs/>
        </w:rPr>
        <w:t xml:space="preserve">mitigação:</w:t>
      </w:r>
      <w:r>
        <w:t xml:space="preserve"> </w:t>
      </w:r>
      <w:r>
        <w:t xml:space="preserve">{{…}}</w:t>
      </w:r>
    </w:p>
    <w:bookmarkEnd w:id="57"/>
    <w:bookmarkStart w:id="58" w:name="neutras-a-acompanhar"/>
    <w:p>
      <w:pPr>
        <w:pStyle w:val="Heading3"/>
      </w:pPr>
      <w:r>
        <w:t xml:space="preserve">Neutras / a acompanhar</w:t>
      </w:r>
    </w:p>
    <w:p>
      <w:pPr>
        <w:pStyle w:val="Compact"/>
        <w:numPr>
          <w:ilvl w:val="0"/>
          <w:numId w:val="1003"/>
        </w:numPr>
      </w:pPr>
      <w:r>
        <w:t xml:space="preserve">{{…}}</w:t>
      </w:r>
    </w:p>
    <w:bookmarkEnd w:id="58"/>
    <w:bookmarkStart w:id="59" w:name="impacto-em-atributos-de-qualidade"/>
    <w:p>
      <w:pPr>
        <w:pStyle w:val="Heading3"/>
      </w:pPr>
      <w:r>
        <w:t xml:space="preserve">Impacto em atributos de qualidade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Desempenho</w:t>
            </w:r>
          </w:p>
        </w:tc>
        <w:tc>
          <w:tcPr/>
          <w:p>
            <w:pPr>
              <w:pStyle w:val="Compact"/>
            </w:pPr>
            <w:r>
              <w:t xml:space="preserve">↓ ligeiro</w:t>
            </w:r>
          </w:p>
        </w:tc>
        <w:tc>
          <w:tcPr/>
          <w:p>
            <w:pPr>
              <w:pStyle w:val="Compact"/>
            </w:pPr>
            <w:r>
              <w:t xml:space="preserve">{{+20 ms p95, dentro do orçamento}}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Manutenibilidade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{{Equipa já domina}}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↔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condições-de-revisão"/>
    <w:p>
      <w:pPr>
        <w:pStyle w:val="Heading2"/>
      </w:pPr>
      <w:r>
        <w:t xml:space="preserve">Condições de revisão</w:t>
      </w:r>
    </w:p>
    <w:p>
      <w:pPr>
        <w:pStyle w:val="BlockText"/>
      </w:pPr>
      <w:r>
        <w:t xml:space="preserve">Uma decisão sem gatilho de revisão torna-se dogma.</w:t>
      </w:r>
    </w:p>
    <w:p>
      <w:pPr>
        <w:pStyle w:val="FirstParagraph"/>
      </w:pPr>
      <w:r>
        <w:t xml:space="preserve">Revisitar este ADR se:</w:t>
      </w:r>
      <w:r>
        <w:t xml:space="preserve"> </w:t>
      </w:r>
      <w:r>
        <w:t xml:space="preserve">- {{O volume ultrapassar {{N}} registos/dia}}</w:t>
      </w:r>
      <w:r>
        <w:t xml:space="preserve"> </w:t>
      </w:r>
      <w:r>
        <w:t xml:space="preserve">- {{A latência p95 exceder {{X}} ms de forma sustentada}}</w:t>
      </w:r>
      <w:r>
        <w:t xml:space="preserve"> </w:t>
      </w:r>
      <w:r>
        <w:t xml:space="preserve">- {{Passarem {{12}} meses}}</w:t>
      </w:r>
    </w:p>
    <w:p>
      <w:pPr>
        <w:pStyle w:val="BodyText"/>
      </w:pPr>
      <w:r>
        <w:rPr>
          <w:b/>
          <w:bCs/>
        </w:rPr>
        <w:t xml:space="preserve">Próxima revisão agendada:</w:t>
      </w:r>
      <w:r>
        <w:t xml:space="preserve"> </w:t>
      </w:r>
      <w:r>
        <w:t xml:space="preserve">{{data}}</w:t>
      </w:r>
    </w:p>
    <w:p>
      <w:r>
        <w:pict>
          <v:rect style="width:0;height:1.5pt" o:hralign="center" o:hrstd="t" o:hr="t"/>
        </w:pict>
      </w:r>
    </w:p>
    <w:bookmarkEnd w:id="61"/>
    <w:bookmarkStart w:id="62" w:name="notas-de-implementação"/>
    <w:p>
      <w:pPr>
        <w:pStyle w:val="Heading2"/>
      </w:pPr>
      <w:r>
        <w:t xml:space="preserve">Notas de implementação</w:t>
      </w:r>
    </w:p>
    <w:p>
      <w:pPr>
        <w:pStyle w:val="Compact"/>
        <w:numPr>
          <w:ilvl w:val="0"/>
          <w:numId w:val="1004"/>
        </w:numPr>
      </w:pPr>
      <w:r>
        <w:t xml:space="preserve">{{Passos necessários, migração, feature flag, ordem de rollout}}</w:t>
      </w:r>
    </w:p>
    <w:bookmarkEnd w:id="62"/>
    <w:bookmarkStart w:id="63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5"/>
        </w:numPr>
      </w:pPr>
      <w:r>
        <w:t xml:space="preserve">{{Links, benchmarks, provas de conceito, discussões}}</w:t>
      </w:r>
    </w:p>
    <w:bookmarkEnd w:id="63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ADR-{{NNN}} — {{Título da decisão em forma de afirmação}}</dc:title>
  <dc:creator/>
  <dc:language>pt-PT</dc:language>
  <cp:keywords/>
  <dcterms:created xsi:type="dcterms:W3CDTF">2026-08-24T15:59:17Z</dcterms:created>
  <dcterms:modified xsi:type="dcterms:W3CDTF">2026-08-24T15:59:17Z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