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Gestão de Dívida Técnica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Dívida técnica não é código mau. É uma decisão consciente de entregar mais depressa</w:t>
      </w:r>
      <w:r>
        <w:t xml:space="preserve"> </w:t>
      </w:r>
      <w:r>
        <w:t xml:space="preserve">hoje pagando juros amanhã. O que a torna perigosa é ser contraída sem registo:</w:t>
      </w:r>
      <w:r>
        <w:t xml:space="preserve"> </w:t>
      </w:r>
      <w:r>
        <w:t xml:space="preserve">aí ninguém sabe quanto se deve, a quem, nem quando vence.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 pelo registo</w:t>
            </w:r>
          </w:p>
        </w:tc>
        <w:tc>
          <w:tcPr/>
          <w:p>
            <w:pPr>
              <w:pStyle w:val="Compact"/>
            </w:pPr>
            <w:r>
              <w:t xml:space="preserve">{{Tech lead}}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Revisto em</w:t>
            </w:r>
          </w:p>
        </w:tc>
        <w:tc>
          <w:tcPr/>
          <w:p>
            <w:pPr>
              <w:pStyle w:val="Compact"/>
            </w:pPr>
            <w:r>
              <w:t xml:space="preserve">{{Revisão técnica quinzenal}}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Orçamento acordado</w:t>
            </w:r>
          </w:p>
        </w:tc>
        <w:tc>
          <w:tcPr/>
          <w:p>
            <w:pPr>
              <w:pStyle w:val="Compact"/>
            </w:pPr>
            <w:r>
              <w:t xml:space="preserve">{{15 % da capacidade de cada ciclo}}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revisão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9" w:name="o-que-é-e-o-que-não-é"/>
    <w:p>
      <w:pPr>
        <w:pStyle w:val="Heading2"/>
      </w:pPr>
      <w:r>
        <w:t xml:space="preserve">1. O que é e o que não 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 dívida</w:t>
            </w:r>
          </w:p>
        </w:tc>
        <w:tc>
          <w:tcPr/>
          <w:p>
            <w:pPr>
              <w:pStyle w:val="Compact"/>
            </w:pPr>
            <w:r>
              <w:t xml:space="preserve">Não é dívida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Atalho consciente, com alternativa conhecida</w:t>
            </w:r>
          </w:p>
        </w:tc>
        <w:tc>
          <w:tcPr/>
          <w:p>
            <w:pPr>
              <w:pStyle w:val="Compact"/>
            </w:pPr>
            <w:r>
              <w:t xml:space="preserve">Código que ninguém percebe e ninguém decidiu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“Sabemos que isto não escala acima de {{N}}”</w:t>
            </w:r>
          </w:p>
        </w:tc>
        <w:tc>
          <w:tcPr/>
          <w:p>
            <w:pPr>
              <w:pStyle w:val="Compact"/>
            </w:pPr>
            <w:r>
              <w:t xml:space="preserve">Bug — isso vai para o registo de defeitos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Biblioteca desatualizada por falta de tempo</w:t>
            </w:r>
          </w:p>
        </w:tc>
        <w:tc>
          <w:tcPr/>
          <w:p>
            <w:pPr>
              <w:pStyle w:val="Compact"/>
            </w:pPr>
            <w:r>
              <w:t xml:space="preserve">Funcionalidade em falta — isso é âmbito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 que ficou por escrever</w:t>
            </w:r>
          </w:p>
        </w:tc>
        <w:tc>
          <w:tcPr/>
          <w:p>
            <w:pPr>
              <w:pStyle w:val="Compact"/>
            </w:pPr>
            <w:r>
              <w:t xml:space="preserve">Preferência de estilo de quem chegou agora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Duplicação deixada de propósito para não bloquear</w:t>
            </w:r>
          </w:p>
        </w:tc>
        <w:tc>
          <w:tcPr/>
          <w:p>
            <w:pPr>
              <w:pStyle w:val="Compact"/>
            </w:pPr>
            <w:r>
              <w:t xml:space="preserve">Reescrita porque</w:t>
            </w:r>
            <w:r>
              <w:t xml:space="preserve"> </w:t>
            </w:r>
            <w:r>
              <w:t xml:space="preserve">“eu faria de outra forma”</w:t>
            </w:r>
          </w:p>
        </w:tc>
      </w:tr>
    </w:tbl>
    <w:p>
      <w:pPr>
        <w:pStyle w:val="BlockText"/>
      </w:pPr>
      <w:r>
        <w:t xml:space="preserve">A pergunta que separa:</w:t>
      </w:r>
      <w:r>
        <w:t xml:space="preserve"> </w:t>
      </w:r>
      <w:r>
        <w:rPr>
          <w:b/>
          <w:bCs/>
        </w:rPr>
        <w:t xml:space="preserve">alguém decidiu isto, e sabia o custo?</w:t>
      </w:r>
      <w:r>
        <w:t xml:space="preserve"> </w:t>
      </w:r>
      <w:r>
        <w:t xml:space="preserve">Se sim, é dívida.</w:t>
      </w:r>
      <w:r>
        <w:t xml:space="preserve"> </w:t>
      </w:r>
      <w:r>
        <w:t xml:space="preserve">Se não, é defeito ou desconhecimento — e trata-se de outra maneira.</w:t>
      </w:r>
    </w:p>
    <w:p>
      <w:r>
        <w:pict>
          <v:rect style="width:0;height:1.5pt" o:hralign="center" o:hrstd="t" o:hr="t"/>
        </w:pict>
      </w:r>
    </w:p>
    <w:bookmarkEnd w:id="49"/>
    <w:bookmarkStart w:id="50" w:name="registo"/>
    <w:p>
      <w:pPr>
        <w:pStyle w:val="Heading2"/>
      </w:pPr>
      <w:r>
        <w:t xml:space="preserve">2. Registo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Dívida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Juro (o que custa)</w:t>
            </w:r>
          </w:p>
        </w:tc>
        <w:tc>
          <w:tcPr/>
          <w:p>
            <w:pPr>
              <w:pStyle w:val="Compact"/>
            </w:pPr>
            <w:r>
              <w:t xml:space="preserve">Vencimento</w:t>
            </w:r>
          </w:p>
        </w:tc>
        <w:tc>
          <w:tcPr/>
          <w:p>
            <w:pPr>
              <w:pStyle w:val="Compact"/>
            </w:pPr>
            <w:r>
              <w:t xml:space="preserve">Esforço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DT-01</w:t>
            </w:r>
          </w:p>
        </w:tc>
        <w:tc>
          <w:tcPr/>
          <w:p>
            <w:pPr>
              <w:pStyle w:val="Compact"/>
            </w:pPr>
            <w:r>
              <w:t xml:space="preserve">{{Sem índice em {{tabela}}; consultas lentas acima de {{100 k}} registos}}</w:t>
            </w:r>
          </w:p>
        </w:tc>
        <w:tc>
          <w:tcPr/>
          <w:p>
            <w:pPr>
              <w:pStyle w:val="Compact"/>
            </w:pPr>
            <w:r>
              <w:t xml:space="preserve">{{Prazo do 1.º piloto}}</w:t>
            </w:r>
          </w:p>
        </w:tc>
        <w:tc>
          <w:tcPr/>
          <w:p>
            <w:pPr>
              <w:pStyle w:val="Compact"/>
            </w:pPr>
            <w:r>
              <w:t xml:space="preserve">{{+2 s no ecrã de listagem}}</w:t>
            </w:r>
          </w:p>
        </w:tc>
        <w:tc>
          <w:tcPr/>
          <w:p>
            <w:pPr>
              <w:pStyle w:val="Compact"/>
            </w:pPr>
            <w:r>
              <w:t xml:space="preserve">{{Antes de {{cliente grande}}}}</w:t>
            </w:r>
          </w:p>
        </w:tc>
        <w:tc>
          <w:tcPr/>
          <w:p>
            <w:pPr>
              <w:pStyle w:val="Compact"/>
            </w:pPr>
            <w:r>
              <w:t xml:space="preserve">{{2 dias}}</w:t>
            </w:r>
          </w:p>
        </w:tc>
        <w:tc>
          <w:tcPr/>
          <w:p>
            <w:pPr>
              <w:pStyle w:val="Compact"/>
            </w:pPr>
            <w:r>
              <w:t xml:space="preserve">Aberta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DT-02</w:t>
            </w:r>
          </w:p>
        </w:tc>
        <w:tc>
          <w:tcPr/>
          <w:p>
            <w:pPr>
              <w:pStyle w:val="Compact"/>
            </w:pPr>
            <w:r>
              <w:t xml:space="preserve">{{Autenticação duplicada em dois serviços}}</w:t>
            </w:r>
          </w:p>
        </w:tc>
        <w:tc>
          <w:tcPr/>
          <w:p>
            <w:pPr>
              <w:pStyle w:val="Compact"/>
            </w:pPr>
            <w:r>
              <w:t xml:space="preserve">{{Integração à pressa}}</w:t>
            </w:r>
          </w:p>
        </w:tc>
        <w:tc>
          <w:tcPr/>
          <w:p>
            <w:pPr>
              <w:pStyle w:val="Compact"/>
            </w:pPr>
            <w:r>
              <w:t xml:space="preserve">{{Cada alteração feita a dobrar}}</w:t>
            </w:r>
          </w:p>
        </w:tc>
        <w:tc>
          <w:tcPr/>
          <w:p>
            <w:pPr>
              <w:pStyle w:val="Compact"/>
            </w:pPr>
            <w:r>
              <w:t xml:space="preserve">{{Próxima alteração de perfis}}</w:t>
            </w:r>
          </w:p>
        </w:tc>
        <w:tc>
          <w:tcPr/>
          <w:p>
            <w:pPr>
              <w:pStyle w:val="Compact"/>
            </w:pPr>
            <w:r>
              <w:t xml:space="preserve">{{5 dias}}</w:t>
            </w:r>
          </w:p>
        </w:tc>
        <w:tc>
          <w:tcPr/>
          <w:p>
            <w:pPr>
              <w:pStyle w:val="Compact"/>
            </w:pPr>
            <w:r>
              <w:t xml:space="preserve">Aberta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DT-03</w:t>
            </w:r>
          </w:p>
        </w:tc>
        <w:tc>
          <w:tcPr/>
          <w:p>
            <w:pPr>
              <w:pStyle w:val="Compact"/>
            </w:pPr>
            <w:r>
              <w:t xml:space="preserve">{{Feature flag {{X}} permanente}}</w:t>
            </w:r>
          </w:p>
        </w:tc>
        <w:tc>
          <w:tcPr/>
          <w:p>
            <w:pPr>
              <w:pStyle w:val="Compact"/>
            </w:pPr>
            <w:r>
              <w:t xml:space="preserve">{{Lançamento faseado}}</w:t>
            </w:r>
          </w:p>
        </w:tc>
        <w:tc>
          <w:tcPr/>
          <w:p>
            <w:pPr>
              <w:pStyle w:val="Compact"/>
            </w:pPr>
            <w:r>
              <w:t xml:space="preserve">{{Dois caminhos de código a testar}}</w:t>
            </w:r>
          </w:p>
        </w:tc>
        <w:tc>
          <w:tcPr/>
          <w:p>
            <w:pPr>
              <w:pStyle w:val="Compact"/>
            </w:pPr>
            <w:r>
              <w:t xml:space="preserve">{{{{AAAA-MM-DD}}}}</w:t>
            </w:r>
          </w:p>
        </w:tc>
        <w:tc>
          <w:tcPr/>
          <w:p>
            <w:pPr>
              <w:pStyle w:val="Compact"/>
            </w:pPr>
            <w:r>
              <w:t xml:space="preserve">{{1 dia}}</w:t>
            </w:r>
          </w:p>
        </w:tc>
        <w:tc>
          <w:tcPr/>
          <w:p>
            <w:pPr>
              <w:pStyle w:val="Compact"/>
            </w:pPr>
            <w:r>
              <w:t xml:space="preserve">Em curso</w:t>
            </w:r>
          </w:p>
        </w:tc>
      </w:tr>
    </w:tbl>
    <w:p>
      <w:pPr>
        <w:pStyle w:val="BodyText"/>
      </w:pPr>
      <w:r>
        <w:rPr>
          <w:b/>
          <w:bCs/>
        </w:rPr>
        <w:t xml:space="preserve">Os campos que ninguém preenche e são os únicos que interessam: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Como se preenche bem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Juro</w:t>
            </w:r>
          </w:p>
        </w:tc>
        <w:tc>
          <w:tcPr/>
          <w:p>
            <w:pPr>
              <w:pStyle w:val="Compact"/>
            </w:pPr>
            <w:r>
              <w:t xml:space="preserve">O que custa</w:t>
            </w:r>
            <w:r>
              <w:t xml:space="preserve"> </w:t>
            </w:r>
            <w:r>
              <w:rPr>
                <w:b/>
                <w:bCs/>
              </w:rPr>
              <w:t xml:space="preserve">por semana</w:t>
            </w:r>
            <w:r>
              <w:t xml:space="preserve">, em concreto: tempo perdido, risco, bugs recorrentes.</w:t>
            </w:r>
            <w:r>
              <w:t xml:space="preserve"> </w:t>
            </w:r>
            <w:r>
              <w:t xml:space="preserve">“É feio”</w:t>
            </w:r>
            <w:r>
              <w:t xml:space="preserve"> </w:t>
            </w:r>
            <w:r>
              <w:t xml:space="preserve">não é juro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Vencimento</w:t>
            </w:r>
          </w:p>
        </w:tc>
        <w:tc>
          <w:tcPr/>
          <w:p>
            <w:pPr>
              <w:pStyle w:val="Compact"/>
            </w:pPr>
            <w:r>
              <w:t xml:space="preserve">O acontecimento que a torna urgente: um volume, um cliente, uma funcionalidade. Não uma data inventada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Esforço</w:t>
            </w:r>
          </w:p>
        </w:tc>
        <w:tc>
          <w:tcPr/>
          <w:p>
            <w:pPr>
              <w:pStyle w:val="Compact"/>
            </w:pPr>
            <w:r>
              <w:t xml:space="preserve">Dias de trabalho para pagar. Sem isto, nunca entra num planeamento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como-se-decide-o-que-pagar"/>
    <w:p>
      <w:pPr>
        <w:pStyle w:val="Heading2"/>
      </w:pPr>
      <w:r>
        <w:t xml:space="preserve">3. Como se decide o que pagar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Juro  Esforço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Paga já</w:t>
            </w:r>
            <w:r>
              <w:t xml:space="preserve"> </w:t>
            </w:r>
            <w:r>
              <w:t xml:space="preserve">— é o melhor negócio que a equipa vai fazer este mês</w:t>
            </w:r>
          </w:p>
        </w:tc>
        <w:tc>
          <w:tcPr/>
          <w:p>
            <w:pPr>
              <w:pStyle w:val="Compact"/>
            </w:pPr>
            <w:r>
              <w:t xml:space="preserve">Planeia como trabalho próprio, com objetivo e prazo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Paga quando passares por perto (regra do escuteiro)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pagues.</w:t>
            </w:r>
            <w:r>
              <w:t xml:space="preserve"> </w:t>
            </w:r>
            <w:r>
              <w:t xml:space="preserve">Regista e revê daqui a {{6 meses}}</w:t>
            </w:r>
          </w:p>
        </w:tc>
      </w:tr>
    </w:tbl>
    <w:p>
      <w:pPr>
        <w:pStyle w:val="BodyText"/>
      </w:pPr>
      <w:r>
        <w:rPr>
          <w:b/>
          <w:bCs/>
        </w:rPr>
        <w:t xml:space="preserve">Dívida que ninguém encontra não custa nada.</w:t>
      </w:r>
      <w:r>
        <w:t xml:space="preserve"> </w:t>
      </w:r>
      <w:r>
        <w:t xml:space="preserve">Reescrever um módulo estável que</w:t>
      </w:r>
      <w:r>
        <w:t xml:space="preserve"> </w:t>
      </w:r>
      <w:r>
        <w:t xml:space="preserve">ninguém toca há dois anos é despesa, não pagamento.</w:t>
      </w:r>
    </w:p>
    <w:p>
      <w:r>
        <w:pict>
          <v:rect style="width:0;height:1.5pt" o:hralign="center" o:hrstd="t" o:hr="t"/>
        </w:pict>
      </w:r>
    </w:p>
    <w:bookmarkEnd w:id="51"/>
    <w:bookmarkStart w:id="52" w:name="orçamento"/>
    <w:p>
      <w:pPr>
        <w:pStyle w:val="Heading2"/>
      </w:pPr>
      <w:r>
        <w:t xml:space="preserve">4. Orçamento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Capacidade reservada por ciclo</w:t>
            </w:r>
          </w:p>
        </w:tc>
        <w:tc>
          <w:tcPr/>
          <w:p>
            <w:pPr>
              <w:pStyle w:val="Compact"/>
            </w:pPr>
            <w:r>
              <w:t xml:space="preserve">{{15 %}}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 decide o que entra nesse orçamento</w:t>
            </w:r>
          </w:p>
        </w:tc>
        <w:tc>
          <w:tcPr/>
          <w:p>
            <w:pPr>
              <w:pStyle w:val="Compact"/>
            </w:pPr>
            <w:r>
              <w:t xml:space="preserve">{{Tech lead}}, com o PO informado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Quando se pode gastar mais</w:t>
            </w:r>
          </w:p>
        </w:tc>
        <w:tc>
          <w:tcPr/>
          <w:p>
            <w:pPr>
              <w:pStyle w:val="Compact"/>
            </w:pPr>
            <w:r>
              <w:t xml:space="preserve">{{Quando o juro estiver a bloquear entregas — decisão do comité}}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Quando se pode gastar menos</w:t>
            </w:r>
          </w:p>
        </w:tc>
        <w:tc>
          <w:tcPr/>
          <w:p>
            <w:pPr>
              <w:pStyle w:val="Compact"/>
            </w:pPr>
            <w:r>
              <w:t xml:space="preserve">{{Nunca dois ciclos seguidos a zero}}</w:t>
            </w:r>
          </w:p>
        </w:tc>
      </w:tr>
    </w:tbl>
    <w:p>
      <w:pPr>
        <w:pStyle w:val="BlockText"/>
      </w:pPr>
      <w:r>
        <w:t xml:space="preserve">Sem percentagem reservada, a dívida só se paga em crise — e em crise paga-se ao</w:t>
      </w:r>
      <w:r>
        <w:t xml:space="preserve"> </w:t>
      </w:r>
      <w:r>
        <w:t xml:space="preserve">pior câmbio possível. A reserva não é generosidade com a equipa técnica: é o que</w:t>
      </w:r>
      <w:r>
        <w:t xml:space="preserve"> </w:t>
      </w:r>
      <w:r>
        <w:t xml:space="preserve">impede a velocidade de cair sem ninguém perceber porquê.</w:t>
      </w:r>
    </w:p>
    <w:p>
      <w:r>
        <w:pict>
          <v:rect style="width:0;height:1.5pt" o:hralign="center" o:hrstd="t" o:hr="t"/>
        </w:pict>
      </w:r>
    </w:p>
    <w:bookmarkEnd w:id="52"/>
    <w:bookmarkStart w:id="54" w:name="contrair-dívida-de-propósito"/>
    <w:p>
      <w:pPr>
        <w:pStyle w:val="Heading2"/>
      </w:pPr>
      <w:r>
        <w:t xml:space="preserve">5. Contrair dívida de propósito</w:t>
      </w:r>
    </w:p>
    <w:p>
      <w:pPr>
        <w:pStyle w:val="FirstParagraph"/>
      </w:pPr>
      <w:r>
        <w:t xml:space="preserve">É legítimo. O que não é legítimo é fazê-lo em silêncio. Antes de aceitar o atalho:</w:t>
      </w:r>
    </w:p>
    <w:p>
      <w:pPr>
        <w:pStyle w:val="Compact"/>
        <w:numPr>
          <w:ilvl w:val="0"/>
          <w:numId w:val="1001"/>
        </w:numPr>
      </w:pPr>
      <w:r>
        <w:t xml:space="preserve">Está registado no quadro acima, com juro e vencimento</w:t>
      </w:r>
    </w:p>
    <w:p>
      <w:pPr>
        <w:pStyle w:val="Compact"/>
        <w:numPr>
          <w:ilvl w:val="0"/>
          <w:numId w:val="1002"/>
        </w:numPr>
      </w:pPr>
      <w:r>
        <w:t xml:space="preserve">Existe alternativa conhecida e está descrita numa linha</w:t>
      </w:r>
    </w:p>
    <w:p>
      <w:pPr>
        <w:pStyle w:val="Compact"/>
        <w:numPr>
          <w:ilvl w:val="0"/>
          <w:numId w:val="1003"/>
        </w:numPr>
      </w:pPr>
      <w:r>
        <w:t xml:space="preserve">O PO sabe que o prazo de hoje custa {{N}} dias depois</w:t>
      </w:r>
    </w:p>
    <w:p>
      <w:pPr>
        <w:pStyle w:val="Compact"/>
        <w:numPr>
          <w:ilvl w:val="0"/>
          <w:numId w:val="1004"/>
        </w:numPr>
      </w:pPr>
      <w:r>
        <w:t xml:space="preserve">Se for estrutural, tem</w:t>
      </w:r>
      <w:r>
        <w:t xml:space="preserve"> </w:t>
      </w:r>
      <w:hyperlink r:id="rId53">
        <w:r>
          <w:rPr>
            <w:rStyle w:val="Hyperlink"/>
          </w:rPr>
          <w:t xml:space="preserve">ADR</w:t>
        </w:r>
      </w:hyperlink>
      <w:r>
        <w:t xml:space="preserve"> </w:t>
      </w:r>
      <w:r>
        <w:t xml:space="preserve">com a secção</w:t>
      </w:r>
      <w:r>
        <w:t xml:space="preserve"> </w:t>
      </w:r>
      <w:r>
        <w:t xml:space="preserve">“o que faria mudar esta decisão”</w:t>
      </w:r>
    </w:p>
    <w:p>
      <w:pPr>
        <w:pStyle w:val="Compact"/>
        <w:numPr>
          <w:ilvl w:val="0"/>
          <w:numId w:val="1005"/>
        </w:numPr>
      </w:pPr>
      <w:r>
        <w:t xml:space="preserve">Há um</w:t>
      </w:r>
      <w:r>
        <w:t xml:space="preserve"> </w:t>
      </w:r>
      <w:r>
        <w:rPr>
          <w:rStyle w:val="VerbatimChar"/>
        </w:rPr>
        <w:t xml:space="preserve">TODO</w:t>
      </w:r>
      <w:r>
        <w:t xml:space="preserve"> </w:t>
      </w:r>
      <w:r>
        <w:t xml:space="preserve">no código com o número</w:t>
      </w:r>
      <w:r>
        <w:t xml:space="preserve"> </w:t>
      </w:r>
      <w:r>
        <w:rPr>
          <w:rStyle w:val="VerbatimChar"/>
        </w:rPr>
        <w:t xml:space="preserve">DT-nn</w:t>
      </w:r>
      <w:r>
        <w:t xml:space="preserve"> </w:t>
      </w:r>
      <w:r>
        <w:t xml:space="preserve">— para quem o encontrar saber que foi decidido</w:t>
      </w:r>
    </w:p>
    <w:p>
      <w:r>
        <w:pict>
          <v:rect style="width:0;height:1.5pt" o:hralign="center" o:hrstd="t" o:hr="t"/>
        </w:pict>
      </w:r>
    </w:p>
    <w:bookmarkEnd w:id="54"/>
    <w:bookmarkStart w:id="57" w:name="X4299baf432a51cafbb396d32f167851a667963a"/>
    <w:p>
      <w:pPr>
        <w:pStyle w:val="Heading2"/>
      </w:pPr>
      <w:r>
        <w:t xml:space="preserve">6. Sinais de que está a ganhar-se dívida sem dar por isso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O que costuma indicar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Estimativas a subir para tarefas parecidas</w:t>
            </w:r>
          </w:p>
        </w:tc>
        <w:tc>
          <w:tcPr/>
          <w:p>
            <w:pPr>
              <w:pStyle w:val="Compact"/>
            </w:pPr>
            <w:r>
              <w:t xml:space="preserve">O custo de mexer está a crescer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“Não mexas nisso, ninguém sabe como funciona”</w:t>
            </w:r>
          </w:p>
        </w:tc>
        <w:tc>
          <w:tcPr/>
          <w:p>
            <w:pPr>
              <w:pStyle w:val="Compact"/>
            </w:pPr>
            <w:r>
              <w:t xml:space="preserve">Conhecimento perdido, e não código mau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Correções que criam sempre outro bug</w:t>
            </w:r>
          </w:p>
        </w:tc>
        <w:tc>
          <w:tcPr/>
          <w:p>
            <w:pPr>
              <w:pStyle w:val="Compact"/>
            </w:pPr>
            <w:r>
              <w:t xml:space="preserve">Acoplamento por resolver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desligados ou ignorados</w:t>
            </w:r>
          </w:p>
        </w:tc>
        <w:tc>
          <w:tcPr/>
          <w:p>
            <w:pPr>
              <w:pStyle w:val="Compact"/>
            </w:pPr>
            <w:r>
              <w:t xml:space="preserve">A suite deixou de dar sinal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Uma pessoa é sempre a mesma para uma área</w:t>
            </w:r>
          </w:p>
        </w:tc>
        <w:tc>
          <w:tcPr/>
          <w:p>
            <w:pPr>
              <w:pStyle w:val="Compact"/>
            </w:pPr>
            <w:r>
              <w:t xml:space="preserve">Dívida de conhecimento — ver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Plano de Transição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Dependências há {{2 anos}} sem atualizar</w:t>
            </w:r>
          </w:p>
        </w:tc>
        <w:tc>
          <w:tcPr/>
          <w:p>
            <w:pPr>
              <w:pStyle w:val="Compact"/>
            </w:pPr>
            <w:r>
              <w:t xml:space="preserve">Ver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Licenças e Terceiros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9" w:name="revisão"/>
    <w:p>
      <w:pPr>
        <w:pStyle w:val="Heading2"/>
      </w:pPr>
      <w:r>
        <w:t xml:space="preserve">7. Revisão</w:t>
      </w:r>
    </w:p>
    <w:p>
      <w:pPr>
        <w:pStyle w:val="FirstParagraph"/>
      </w:pPr>
      <w:r>
        <w:t xml:space="preserve">Na</w:t>
      </w:r>
      <w:r>
        <w:t xml:space="preserve"> </w:t>
      </w:r>
      <w:hyperlink r:id="rId58">
        <w:r>
          <w:rPr>
            <w:rStyle w:val="Hyperlink"/>
          </w:rPr>
          <w:t xml:space="preserve">revisão técnica</w:t>
        </w:r>
      </w:hyperlink>
      <w:r>
        <w:t xml:space="preserve">, {{quinzenal}}:</w:t>
      </w:r>
    </w:p>
    <w:p>
      <w:pPr>
        <w:pStyle w:val="Compact"/>
        <w:numPr>
          <w:ilvl w:val="0"/>
          <w:numId w:val="1006"/>
        </w:numPr>
      </w:pPr>
      <w:r>
        <w:t xml:space="preserve">Que dívida</w:t>
      </w:r>
      <w:r>
        <w:t xml:space="preserve"> </w:t>
      </w:r>
      <w:r>
        <w:rPr>
          <w:b/>
          <w:bCs/>
        </w:rPr>
        <w:t xml:space="preserve">custou tempo neste ciclo</w:t>
      </w:r>
      <w:r>
        <w:t xml:space="preserve">? Sobe o juro dessa.</w:t>
      </w:r>
    </w:p>
    <w:p>
      <w:pPr>
        <w:pStyle w:val="Compact"/>
        <w:numPr>
          <w:ilvl w:val="0"/>
          <w:numId w:val="1006"/>
        </w:numPr>
      </w:pPr>
      <w:r>
        <w:t xml:space="preserve">Alguma venceu — apareceu o volume, o cliente ou a funcionalidade que a torna urgente?</w:t>
      </w:r>
    </w:p>
    <w:p>
      <w:pPr>
        <w:pStyle w:val="Compact"/>
        <w:numPr>
          <w:ilvl w:val="0"/>
          <w:numId w:val="1006"/>
        </w:numPr>
      </w:pPr>
      <w:r>
        <w:t xml:space="preserve">O orçamento do ciclo passado foi gasto? Em quê?</w:t>
      </w:r>
    </w:p>
    <w:p>
      <w:pPr>
        <w:pStyle w:val="Compact"/>
        <w:numPr>
          <w:ilvl w:val="0"/>
          <w:numId w:val="1006"/>
        </w:numPr>
      </w:pPr>
      <w:r>
        <w:t xml:space="preserve">Entrou dívida nova? Está registada, ou descobrimo-la ao passar por lá?</w:t>
      </w:r>
    </w:p>
    <w:p>
      <w:pPr>
        <w:pStyle w:val="FirstParagraph"/>
      </w:pPr>
      <w:r>
        <w:rPr>
          <w:b/>
          <w:bCs/>
        </w:rPr>
        <w:t xml:space="preserve">Fecha-se uma dívida</w:t>
      </w:r>
      <w:r>
        <w:t xml:space="preserve"> </w:t>
      </w:r>
      <w:r>
        <w:t xml:space="preserve">quando o código deixa de ter o problema — não quando alguém</w:t>
      </w:r>
      <w:r>
        <w:t xml:space="preserve"> </w:t>
      </w:r>
      <w:r>
        <w:t xml:space="preserve">promete tratar dela.</w:t>
      </w:r>
    </w:p>
    <w:p>
      <w:r>
        <w:pict>
          <v:rect style="width:0;height:1.5pt" o:hralign="center" o:hrstd="t" o:hr="t"/>
        </w:pict>
      </w:r>
    </w:p>
    <w:bookmarkEnd w:id="59"/>
    <w:bookmarkStart w:id="60" w:name="indicadores"/>
    <w:p>
      <w:pPr>
        <w:pStyle w:val="Heading2"/>
      </w:pPr>
      <w:r>
        <w:t xml:space="preserve">8.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Alvo</w:t>
            </w:r>
          </w:p>
        </w:tc>
        <w:tc>
          <w:tcPr/>
          <w:p>
            <w:pPr>
              <w:pStyle w:val="Compact"/>
            </w:pPr>
            <w:r>
              <w:t xml:space="preserve">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Itens abertos com juro alto</w:t>
            </w:r>
          </w:p>
        </w:tc>
        <w:tc>
          <w:tcPr/>
          <w:p>
            <w:pPr>
              <w:pStyle w:val="Compact"/>
            </w:pPr>
            <w:r>
              <w:t xml:space="preserve">{{≤ 3}}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Idade média do registo</w:t>
            </w:r>
          </w:p>
        </w:tc>
        <w:tc>
          <w:tcPr/>
          <w:p>
            <w:pPr>
              <w:pStyle w:val="Compact"/>
            </w:pPr>
            <w:r>
              <w:t xml:space="preserve">{{&lt; 6 meses}}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Orçamento de dívida usado por ciclo</w:t>
            </w:r>
          </w:p>
        </w:tc>
        <w:tc>
          <w:tcPr/>
          <w:p>
            <w:pPr>
              <w:pStyle w:val="Compact"/>
            </w:pPr>
            <w:r>
              <w:t xml:space="preserve">{{10–15 %}}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Dívida contraída sem registo (detetada depois)</w:t>
            </w:r>
          </w:p>
        </w:tc>
        <w:tc>
          <w:tcPr/>
          <w:p>
            <w:pPr>
              <w:pStyle w:val="Compact"/>
            </w:pPr>
            <w:r>
              <w:t xml:space="preserve">{{0}}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5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Relação</w:t>
            </w:r>
          </w:p>
        </w:tc>
      </w:tr>
      <w:tr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Modelo de ADR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Onde vive a dívida estrutural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Reuniões de Cadência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Onde se revê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Estimativas e Esforço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juro aparece aqui, como derrapagem</w:t>
            </w:r>
          </w:p>
        </w:tc>
      </w:tr>
      <w:tr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Gestão de Feature Flags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 fonte de dívida mais esquecida</w:t>
            </w:r>
          </w:p>
        </w:tc>
      </w:tr>
      <w:tr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Padrões de Código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evita contrair dívida por descuido</w:t>
            </w:r>
          </w:p>
        </w:tc>
      </w:tr>
    </w:tbl>
    <w:bookmarkEnd w:id="65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62" Target="../01-gestao-projeto/02-estimativas-e-esforco.md" TargetMode="External" /><Relationship Type="http://schemas.openxmlformats.org/officeDocument/2006/relationships/hyperlink" Id="rId61" Target="../01-gestao-projeto/09-reunioes-de-cadencia.md" TargetMode="External" /><Relationship Type="http://schemas.openxmlformats.org/officeDocument/2006/relationships/hyperlink" Id="rId58" Target="../01-gestao-projeto/09-reunioes-de-cadencia.md#10-revis&#227;o-t&#233;cnica" TargetMode="External" /><Relationship Type="http://schemas.openxmlformats.org/officeDocument/2006/relationships/hyperlink" Id="rId53" Target="../03-arquitetura/02-modelo-decisao-arquitetura.md" TargetMode="External" /><Relationship Type="http://schemas.openxmlformats.org/officeDocument/2006/relationships/hyperlink" Id="rId63" Target="../06-operacao/09-gestao-de-feature-flags.md" TargetMode="External" /><Relationship Type="http://schemas.openxmlformats.org/officeDocument/2006/relationships/hyperlink" Id="rId56" Target="../07-governanca/04-licencas-e-terceiros.md" TargetMode="External" /><Relationship Type="http://schemas.openxmlformats.org/officeDocument/2006/relationships/hyperlink" Id="rId55" Target="../09-encerramento/03-plano-de-transicao.md" TargetMode="External" /><Relationship Type="http://schemas.openxmlformats.org/officeDocument/2006/relationships/hyperlink" Id="rId64" Target="03-padroes-codig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../01-gestao-projeto/02-estimativas-e-esforco.md" TargetMode="External" /><Relationship Type="http://schemas.openxmlformats.org/officeDocument/2006/relationships/hyperlink" Id="rId61" Target="../01-gestao-projeto/09-reunioes-de-cadencia.md" TargetMode="External" /><Relationship Type="http://schemas.openxmlformats.org/officeDocument/2006/relationships/hyperlink" Id="rId58" Target="../01-gestao-projeto/09-reunioes-de-cadencia.md#10-revis&#227;o-t&#233;cnica" TargetMode="External" /><Relationship Type="http://schemas.openxmlformats.org/officeDocument/2006/relationships/hyperlink" Id="rId53" Target="../03-arquitetura/02-modelo-decisao-arquitetura.md" TargetMode="External" /><Relationship Type="http://schemas.openxmlformats.org/officeDocument/2006/relationships/hyperlink" Id="rId63" Target="../06-operacao/09-gestao-de-feature-flags.md" TargetMode="External" /><Relationship Type="http://schemas.openxmlformats.org/officeDocument/2006/relationships/hyperlink" Id="rId56" Target="../07-governanca/04-licencas-e-terceiros.md" TargetMode="External" /><Relationship Type="http://schemas.openxmlformats.org/officeDocument/2006/relationships/hyperlink" Id="rId55" Target="../09-encerramento/03-plano-de-transicao.md" TargetMode="External" /><Relationship Type="http://schemas.openxmlformats.org/officeDocument/2006/relationships/hyperlink" Id="rId64" Target="03-padroes-codig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Dívida Técnica — {{PROJETO}}</dc:title>
  <dc:creator/>
  <dc:language>pt-PT</dc:language>
  <cp:keywords/>
  <dcterms:created xsi:type="dcterms:W3CDTF">2026-08-24T15:59:24Z</dcterms:created>
  <dcterms:modified xsi:type="dcterms:W3CDTF">2026-08-24T15:59:24Z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