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Uso de IA no Desenvolvimento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 pergunta não é se a equipa usa assistentes de IA — usa. É com que regras, com que</w:t>
      </w:r>
      <w:r>
        <w:t xml:space="preserve"> </w:t>
      </w:r>
      <w:r>
        <w:t xml:space="preserve">dados, e quem responde pelo código que daí sai. A resposta à última é sempre a</w:t>
      </w:r>
      <w:r>
        <w:t xml:space="preserve"> </w:t>
      </w:r>
      <w:r>
        <w:t xml:space="preserve">mesma:</w:t>
      </w:r>
      <w:r>
        <w:t xml:space="preserve"> </w:t>
      </w:r>
      <w:r>
        <w:rPr>
          <w:b/>
          <w:bCs/>
        </w:rPr>
        <w:t xml:space="preserve">quem submete o PR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pela política</w:t>
            </w:r>
          </w:p>
        </w:tc>
        <w:tc>
          <w:tcPr/>
          <w:p>
            <w:pPr>
              <w:pStyle w:val="Compact"/>
            </w:pPr>
            <w:r>
              <w:t xml:space="preserve">{{Tech lead}} · {{DPO}} para a parte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Ferramentas autorizadas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princípio-único"/>
    <w:p>
      <w:pPr>
        <w:pStyle w:val="Heading2"/>
      </w:pPr>
      <w:r>
        <w:t xml:space="preserve">1. Princípio único</w:t>
      </w:r>
    </w:p>
    <w:p>
      <w:pPr>
        <w:pStyle w:val="FirstParagraph"/>
      </w:pPr>
      <w:r>
        <w:rPr>
          <w:b/>
          <w:bCs/>
        </w:rPr>
        <w:t xml:space="preserve">Código gerado por IA é código teu.</w:t>
      </w:r>
      <w:r>
        <w:t xml:space="preserve"> </w:t>
      </w:r>
      <w:r>
        <w:t xml:space="preserve">Passa pela mesma revisão, pelos mesmos testes e</w:t>
      </w:r>
      <w:r>
        <w:t xml:space="preserve"> </w:t>
      </w:r>
      <w:r>
        <w:t xml:space="preserve">pelos mesmos padrões que o resto. Não há categoria intermédia de</w:t>
      </w:r>
      <w:r>
        <w:t xml:space="preserve"> </w:t>
      </w:r>
      <w:r>
        <w:t xml:space="preserve">“código que a</w:t>
      </w:r>
      <w:r>
        <w:t xml:space="preserve"> </w:t>
      </w:r>
      <w:r>
        <w:t xml:space="preserve">ferramenta escreveu”</w:t>
      </w:r>
      <w:r>
        <w:t xml:space="preserve"> </w:t>
      </w:r>
      <w:r>
        <w:t xml:space="preserve">— se está no PR, foi a pessoa que o pôs lá.</w:t>
      </w:r>
    </w:p>
    <w:p>
      <w:pPr>
        <w:pStyle w:val="BodyText"/>
      </w:pPr>
      <w:r>
        <w:t xml:space="preserve">Corolário prático:</w:t>
      </w:r>
      <w:r>
        <w:t xml:space="preserve"> </w:t>
      </w:r>
      <w:r>
        <w:rPr>
          <w:b/>
          <w:bCs/>
        </w:rPr>
        <w:t xml:space="preserve">não submetas o que não sabes explicar.</w:t>
      </w:r>
      <w:r>
        <w:t xml:space="preserve"> </w:t>
      </w:r>
      <w:r>
        <w:t xml:space="preserve">Se não consegues dizer</w:t>
      </w:r>
      <w:r>
        <w:t xml:space="preserve"> </w:t>
      </w:r>
      <w:r>
        <w:t xml:space="preserve">o que aquele bloco faz e porque está ali, não está pronto para revisão.</w:t>
      </w:r>
    </w:p>
    <w:p>
      <w:r>
        <w:pict>
          <v:rect style="width:0;height:1.5pt" o:hralign="center" o:hrstd="t" o:hr="t"/>
        </w:pict>
      </w:r>
    </w:p>
    <w:bookmarkEnd w:id="49"/>
    <w:bookmarkStart w:id="51" w:name="ferramentas"/>
    <w:p>
      <w:pPr>
        <w:pStyle w:val="Heading2"/>
      </w:pPr>
      <w:r>
        <w:t xml:space="preserve">2. Ferramentas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Autorizada para</w:t>
            </w:r>
          </w:p>
        </w:tc>
        <w:tc>
          <w:tcPr/>
          <w:p>
            <w:pPr>
              <w:pStyle w:val="Compact"/>
            </w:pPr>
            <w:r>
              <w:t xml:space="preserve">Não autorizada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{{Assistente no editor}}</w:t>
            </w:r>
          </w:p>
        </w:tc>
        <w:tc>
          <w:tcPr/>
          <w:p>
            <w:pPr>
              <w:pStyle w:val="Compact"/>
            </w:pPr>
            <w:r>
              <w:t xml:space="preserve">{{Código, testes, refactor, explicações}}</w:t>
            </w:r>
          </w:p>
        </w:tc>
        <w:tc>
          <w:tcPr/>
          <w:p>
            <w:pPr>
              <w:pStyle w:val="Compact"/>
            </w:pPr>
            <w:r>
              <w:t xml:space="preserve">{{Dados pessoais reais}}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{{Agente de linha de comandos}}</w:t>
            </w:r>
          </w:p>
        </w:tc>
        <w:tc>
          <w:tcPr/>
          <w:p>
            <w:pPr>
              <w:pStyle w:val="Compact"/>
            </w:pPr>
            <w:r>
              <w:t xml:space="preserve">{{Tarefas mecânicas, migrações repetitivas}}</w:t>
            </w:r>
          </w:p>
        </w:tc>
        <w:tc>
          <w:tcPr/>
          <w:p>
            <w:pPr>
              <w:pStyle w:val="Compact"/>
            </w:pPr>
            <w:r>
              <w:t xml:space="preserve">{{Acesso a produção}}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{{Ferramenta de revisão automática}}</w:t>
            </w:r>
          </w:p>
        </w:tc>
        <w:tc>
          <w:tcPr/>
          <w:p>
            <w:pPr>
              <w:pStyle w:val="Compact"/>
            </w:pPr>
            <w:r>
              <w:t xml:space="preserve">{{Sugestões num PR}}</w:t>
            </w:r>
          </w:p>
        </w:tc>
        <w:tc>
          <w:tcPr/>
          <w:p>
            <w:pPr>
              <w:pStyle w:val="Compact"/>
            </w:pPr>
            <w:r>
              <w:t xml:space="preserve">{{Aprovar PRs sozinha}}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{{Serviço não aprovado}}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Tudo</w:t>
            </w:r>
          </w:p>
        </w:tc>
      </w:tr>
    </w:tbl>
    <w:p>
      <w:pPr>
        <w:pStyle w:val="BodyText"/>
      </w:pPr>
      <w:r>
        <w:rPr>
          <w:b/>
          <w:bCs/>
        </w:rPr>
        <w:t xml:space="preserve">Aprovar uma ferramenta nova</w:t>
      </w:r>
      <w:r>
        <w:t xml:space="preserve"> </w:t>
      </w:r>
      <w:r>
        <w:t xml:space="preserve">exige: onde correm os dados, se são usados para treino,</w:t>
      </w:r>
      <w:r>
        <w:t xml:space="preserve"> </w:t>
      </w:r>
      <w:r>
        <w:t xml:space="preserve">que retenção têm, e quem assina o contrato. Ver</w:t>
      </w:r>
      <w:r>
        <w:t xml:space="preserve"> </w:t>
      </w:r>
      <w:hyperlink r:id="rId50">
        <w:r>
          <w:rPr>
            <w:rStyle w:val="Hyperlink"/>
          </w:rPr>
          <w:t xml:space="preserve">Contratação e Fornecedores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3" w:name="X565c64ba016e8a1b038cdf73c468fbecef645bb"/>
    <w:p>
      <w:pPr>
        <w:pStyle w:val="Heading2"/>
      </w:pPr>
      <w:r>
        <w:t xml:space="preserve">3. O que nunca se cola numa ferramenta de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pessoais reais de clientes ou colaboradores</w:t>
            </w:r>
          </w:p>
        </w:tc>
        <w:tc>
          <w:tcPr/>
          <w:p>
            <w:pPr>
              <w:pStyle w:val="Compact"/>
            </w:pPr>
            <w:r>
              <w:t xml:space="preserve">RGPD: é transferência para subcontratante não contratado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Segredos, chaves, tokens,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Sai do teu controlo no momento em que envias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cliente sob acordo de confidencialidade</w:t>
            </w:r>
          </w:p>
        </w:tc>
        <w:tc>
          <w:tcPr/>
          <w:p>
            <w:pPr>
              <w:pStyle w:val="Compact"/>
            </w:pPr>
            <w:r>
              <w:t xml:space="preserve">Obrigação contratual, independente da ferramenta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Extratos de base de dados de produção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Dados de Teste e Anonimização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Documentos internos classificados como {{Confidencial}}</w:t>
            </w:r>
          </w:p>
        </w:tc>
        <w:tc>
          <w:tcPr/>
          <w:p>
            <w:pPr>
              <w:pStyle w:val="Compact"/>
            </w:pPr>
            <w:r>
              <w:t xml:space="preserve">{{Política de classificação}}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Em caso de dúvida:</w:t>
      </w:r>
      <w:r>
        <w:t xml:space="preserve"> </w:t>
      </w:r>
      <w:r>
        <w:t xml:space="preserve">anonimiza antes, ou não envies. Um exemplo inventado costuma</w:t>
      </w:r>
      <w:r>
        <w:t xml:space="preserve"> </w:t>
      </w:r>
      <w:r>
        <w:t xml:space="preserve">dar a mesma resposta.</w:t>
      </w:r>
    </w:p>
    <w:p>
      <w:r>
        <w:pict>
          <v:rect style="width:0;height:1.5pt" o:hralign="center" o:hrstd="t" o:hr="t"/>
        </w:pict>
      </w:r>
    </w:p>
    <w:bookmarkEnd w:id="53"/>
    <w:bookmarkStart w:id="54" w:name="onde-ajuda-e-onde-atrapalha"/>
    <w:p>
      <w:pPr>
        <w:pStyle w:val="Heading2"/>
      </w:pPr>
      <w:r>
        <w:t xml:space="preserve">4. Onde ajuda e onde atrapalha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Ajuda muito</w:t>
            </w:r>
          </w:p>
        </w:tc>
        <w:tc>
          <w:tcPr/>
          <w:p>
            <w:pPr>
              <w:pStyle w:val="Compact"/>
            </w:pPr>
            <w:r>
              <w:t xml:space="preserve">Ajuda pouco ou atrapalha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a partir de código existente</w:t>
            </w:r>
          </w:p>
        </w:tc>
        <w:tc>
          <w:tcPr/>
          <w:p>
            <w:pPr>
              <w:pStyle w:val="Compact"/>
            </w:pPr>
            <w:r>
              <w:t xml:space="preserve">Decisões de arquitetura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Trabalho mecânico e repetitivo</w:t>
            </w:r>
          </w:p>
        </w:tc>
        <w:tc>
          <w:tcPr/>
          <w:p>
            <w:pPr>
              <w:pStyle w:val="Compact"/>
            </w:pPr>
            <w:r>
              <w:t xml:space="preserve">Regras de negócio que só existem na cabeça do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Explicar código que ninguém conhece</w:t>
            </w:r>
          </w:p>
        </w:tc>
        <w:tc>
          <w:tcPr/>
          <w:p>
            <w:pPr>
              <w:pStyle w:val="Compact"/>
            </w:pPr>
            <w:r>
              <w:t xml:space="preserve">Segurança e criptografia — plausível não chega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Primeiro rascunho de documentação</w:t>
            </w:r>
          </w:p>
        </w:tc>
        <w:tc>
          <w:tcPr/>
          <w:p>
            <w:pPr>
              <w:pStyle w:val="Compact"/>
            </w:pPr>
            <w:r>
              <w:t xml:space="preserve">Desempenho: mede-se, não se adivinha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Traduzir entre linguagens ou formatos</w:t>
            </w:r>
          </w:p>
        </w:tc>
        <w:tc>
          <w:tcPr/>
          <w:p>
            <w:pPr>
              <w:pStyle w:val="Compact"/>
            </w:pPr>
            <w:r>
              <w:t xml:space="preserve">Contexto que não está no repositório</w:t>
            </w:r>
          </w:p>
        </w:tc>
      </w:tr>
    </w:tbl>
    <w:p>
      <w:pPr>
        <w:pStyle w:val="BlockText"/>
      </w:pPr>
      <w:r>
        <w:t xml:space="preserve">O padrão de erro é sempre o mesmo:</w:t>
      </w:r>
      <w:r>
        <w:t xml:space="preserve"> </w:t>
      </w:r>
      <w:r>
        <w:rPr>
          <w:b/>
          <w:bCs/>
        </w:rPr>
        <w:t xml:space="preserve">respostas plausíveis e erradas</w:t>
      </w:r>
      <w:r>
        <w:t xml:space="preserve">, com a mesma</w:t>
      </w:r>
      <w:r>
        <w:t xml:space="preserve"> </w:t>
      </w:r>
      <w:r>
        <w:t xml:space="preserve">confiança das certas. Onde o custo do erro é alto, verifica-se sempre.</w:t>
      </w:r>
    </w:p>
    <w:p>
      <w:r>
        <w:pict>
          <v:rect style="width:0;height:1.5pt" o:hralign="center" o:hrstd="t" o:hr="t"/>
        </w:pict>
      </w:r>
    </w:p>
    <w:bookmarkEnd w:id="54"/>
    <w:bookmarkStart w:id="56" w:name="obrigatório-antes-de-submeter"/>
    <w:p>
      <w:pPr>
        <w:pStyle w:val="Heading2"/>
      </w:pPr>
      <w:r>
        <w:t xml:space="preserve">5. Obrigatório antes de submeter</w:t>
      </w:r>
    </w:p>
    <w:p>
      <w:pPr>
        <w:pStyle w:val="Compact"/>
        <w:numPr>
          <w:ilvl w:val="0"/>
          <w:numId w:val="1001"/>
        </w:numPr>
      </w:pPr>
      <w:r>
        <w:t xml:space="preserve">Li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linhas que vou submeter e sei explicá-las</w:t>
      </w:r>
    </w:p>
    <w:p>
      <w:pPr>
        <w:pStyle w:val="Compact"/>
        <w:numPr>
          <w:ilvl w:val="0"/>
          <w:numId w:val="1002"/>
        </w:numPr>
      </w:pPr>
      <w:r>
        <w:t xml:space="preserve">Os testes passam, e os testes não foram escritos pela mesma sessão que escreveu o código sem eu os ler</w:t>
      </w:r>
    </w:p>
    <w:p>
      <w:pPr>
        <w:pStyle w:val="Compact"/>
        <w:numPr>
          <w:ilvl w:val="0"/>
          <w:numId w:val="1003"/>
        </w:numPr>
      </w:pPr>
      <w:r>
        <w:t xml:space="preserve">Não há segredos, caminhos absolutos, nomes ou dados reais no diff</w:t>
      </w:r>
    </w:p>
    <w:p>
      <w:pPr>
        <w:pStyle w:val="Compact"/>
        <w:numPr>
          <w:ilvl w:val="0"/>
          <w:numId w:val="1004"/>
        </w:numPr>
      </w:pPr>
      <w:r>
        <w:t xml:space="preserve">Não foram acrescentadas dependências novas sem verificação de licença e manutenção</w:t>
      </w:r>
    </w:p>
    <w:p>
      <w:pPr>
        <w:pStyle w:val="Compact"/>
        <w:numPr>
          <w:ilvl w:val="0"/>
          <w:numId w:val="1005"/>
        </w:numPr>
      </w:pPr>
      <w:r>
        <w:t xml:space="preserve">O código segue os</w:t>
      </w:r>
      <w:r>
        <w:t xml:space="preserve"> </w:t>
      </w:r>
      <w:hyperlink r:id="rId55">
        <w:r>
          <w:rPr>
            <w:rStyle w:val="Hyperlink"/>
          </w:rPr>
          <w:t xml:space="preserve">Padrões de Código</w:t>
        </w:r>
      </w:hyperlink>
      <w:r>
        <w:t xml:space="preserve"> </w:t>
      </w:r>
      <w:r>
        <w:t xml:space="preserve">do projeto, não os hábitos da ferramenta</w:t>
      </w:r>
    </w:p>
    <w:p>
      <w:pPr>
        <w:pStyle w:val="Compact"/>
        <w:numPr>
          <w:ilvl w:val="0"/>
          <w:numId w:val="1006"/>
        </w:numPr>
      </w:pPr>
      <w:r>
        <w:t xml:space="preserve">Nada de</w:t>
      </w:r>
      <w:r>
        <w:t xml:space="preserve"> </w:t>
      </w:r>
      <w:r>
        <w:t xml:space="preserve">“código a mais”</w:t>
      </w:r>
      <w:r>
        <w:t xml:space="preserve"> </w:t>
      </w:r>
      <w:r>
        <w:t xml:space="preserve">— funções genéricas que ninguém pediu contam como âmbito extra</w:t>
      </w:r>
    </w:p>
    <w:p>
      <w:pPr>
        <w:pStyle w:val="FirstParagraph"/>
      </w:pPr>
      <w:r>
        <w:rPr>
          <w:b/>
          <w:bCs/>
        </w:rPr>
        <w:t xml:space="preserve">Sinalizar na descrição do PR</w:t>
      </w:r>
      <w:r>
        <w:t xml:space="preserve"> </w:t>
      </w:r>
      <w:r>
        <w:t xml:space="preserve">quando uma parte relevante foi gerada e é sensível:</w:t>
      </w:r>
      <w:r>
        <w:t xml:space="preserve"> </w:t>
      </w:r>
      <w:r>
        <w:t xml:space="preserve">não para desresponsabilizar, mas para quem revê saber onde olhar com mais atenção.</w:t>
      </w:r>
    </w:p>
    <w:p>
      <w:r>
        <w:pict>
          <v:rect style="width:0;height:1.5pt" o:hralign="center" o:hrstd="t" o:hr="t"/>
        </w:pict>
      </w:r>
    </w:p>
    <w:bookmarkEnd w:id="56"/>
    <w:bookmarkStart w:id="58" w:name="licenças-e-propriedade"/>
    <w:p>
      <w:pPr>
        <w:pStyle w:val="Heading2"/>
      </w:pPr>
      <w:r>
        <w:t xml:space="preserve">6. Licenças e propriedade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Posição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Propriedade do código produzido</w:t>
            </w:r>
          </w:p>
        </w:tc>
        <w:tc>
          <w:tcPr/>
          <w:p>
            <w:pPr>
              <w:pStyle w:val="Compact"/>
            </w:pPr>
            <w:r>
              <w:t xml:space="preserve">{{Do cliente / da empresa, como qualquer outro}}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sugerido que reproduza projeto conhecido</w:t>
            </w:r>
          </w:p>
        </w:tc>
        <w:tc>
          <w:tcPr/>
          <w:p>
            <w:pPr>
              <w:pStyle w:val="Compact"/>
            </w:pPr>
            <w:r>
              <w:t xml:space="preserve">Não se aceita — verificar antes de colar blocos grandes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Dependências sugeridas</w:t>
            </w:r>
          </w:p>
        </w:tc>
        <w:tc>
          <w:tcPr/>
          <w:p>
            <w:pPr>
              <w:pStyle w:val="Compact"/>
            </w:pPr>
            <w:r>
              <w:t xml:space="preserve">Passam pela mesma verificação de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licenças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Contratos com cláusula sobre IA</w:t>
            </w:r>
          </w:p>
        </w:tc>
        <w:tc>
          <w:tcPr/>
          <w:p>
            <w:pPr>
              <w:pStyle w:val="Compact"/>
            </w:pPr>
            <w:r>
              <w:t xml:space="preserve">{{Verificar por cliente antes de usar}}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ficheiro-de-instruções-para-agentes"/>
    <w:p>
      <w:pPr>
        <w:pStyle w:val="Heading2"/>
      </w:pPr>
      <w:r>
        <w:t xml:space="preserve">7. Ficheiro de instruções para agentes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na raiz do repositório poupa a repetição do contexto em cada sessão</w:t>
      </w:r>
      <w:r>
        <w:t xml:space="preserve"> </w:t>
      </w:r>
      <w:r>
        <w:t xml:space="preserve">e evita que a ferramenta invente convenções.</w:t>
      </w:r>
    </w:p>
    <w:p>
      <w:pPr>
        <w:pStyle w:val="SourceCode"/>
      </w:pPr>
      <w:r>
        <w:rPr>
          <w:rStyle w:val="FunctionTok"/>
        </w:rPr>
        <w:t xml:space="preserve"># {{PROJETO}} — instruções para agentes</w:t>
      </w:r>
      <w:r>
        <w:br/>
      </w:r>
      <w:r>
        <w:br/>
      </w:r>
      <w:r>
        <w:rPr>
          <w:rStyle w:val="FunctionTok"/>
        </w:rPr>
        <w:t xml:space="preserve">## Comandos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Instalar: {{make setup}} · Correr: {{make dev}} · Testes: {{make test}} · Lint: {{make lint}}</w:t>
      </w:r>
      <w:r>
        <w:br/>
      </w:r>
      <w:r>
        <w:br/>
      </w:r>
      <w:r>
        <w:rPr>
          <w:rStyle w:val="FunctionTok"/>
        </w:rPr>
        <w:t xml:space="preserve">## Regras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Português de Portugal em comentários, mensagens de commit e documentação.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alterar {{migrações já aplicadas}}, {{ficheiros gerados}}, {{pasta X}}.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 a alteração de comportamento traz teste.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Nunca escrever segredos em ficheiros; usar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(não versionado).</w:t>
      </w:r>
      <w:r>
        <w:br/>
      </w:r>
      <w:r>
        <w:br/>
      </w:r>
      <w:r>
        <w:rPr>
          <w:rStyle w:val="FunctionTok"/>
        </w:rPr>
        <w:t xml:space="preserve">## Estrutura</w:t>
      </w:r>
      <w:r>
        <w:br/>
      </w:r>
      <w:r>
        <w:rPr>
          <w:rStyle w:val="NormalTok"/>
        </w:rPr>
        <w:t xml:space="preserve">{{Onde vive cada coisa — 5 linhas, não 50}}</w:t>
      </w:r>
      <w:r>
        <w:br/>
      </w:r>
      <w:r>
        <w:br/>
      </w:r>
      <w:r>
        <w:rPr>
          <w:rStyle w:val="FunctionTok"/>
        </w:rPr>
        <w:t xml:space="preserve">## Não fazer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acrescentar dependências sem justificar no PR.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reformatar ficheiros inteiros ao alterar duas linhas.</w:t>
      </w:r>
    </w:p>
    <w:p>
      <w:r>
        <w:pict>
          <v:rect style="width:0;height:1.5pt" o:hralign="center" o:hrstd="t" o:hr="t"/>
        </w:pict>
      </w:r>
    </w:p>
    <w:bookmarkEnd w:id="59"/>
    <w:bookmarkStart w:id="60" w:name="revisão-da-política"/>
    <w:p>
      <w:pPr>
        <w:pStyle w:val="Heading2"/>
      </w:pPr>
      <w:r>
        <w:t xml:space="preserve">8. Revisão da política</w:t>
      </w:r>
    </w:p>
    <w:p>
      <w:pPr>
        <w:pStyle w:val="FirstParagraph"/>
      </w:pPr>
      <w:r>
        <w:t xml:space="preserve">{{Semestral}}, ou quando: entra uma ferramenta nova · muda o contrato de um fornecedor ·</w:t>
      </w:r>
      <w:r>
        <w:t xml:space="preserve"> </w:t>
      </w:r>
      <w:r>
        <w:t xml:space="preserve">aparece exigência de um cliente · acontece um incidente relacionado.</w:t>
      </w:r>
    </w:p>
    <w:p>
      <w:r>
        <w:pict>
          <v:rect style="width:0;height:1.5pt" o:hralign="center" o:hrstd="t" o:hr="t"/>
        </w:pict>
      </w:r>
    </w:p>
    <w:bookmarkEnd w:id="60"/>
    <w:bookmarkStart w:id="64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revisão a que este código está sujeito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estilo que prevalece sobre o da ferramenta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não pode sair da organização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Revisão do que é sensível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Dependências e proveniência</w:t>
            </w:r>
          </w:p>
        </w:tc>
      </w:tr>
    </w:tbl>
    <w:bookmarkEnd w:id="6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2" Target="../05-qualidade/07-dados-de-teste-e-anonimizacao.md" TargetMode="External" /><Relationship Type="http://schemas.openxmlformats.org/officeDocument/2006/relationships/hyperlink" Id="rId63" Target="../07-governanca/01-seguranca.md" TargetMode="External" /><Relationship Type="http://schemas.openxmlformats.org/officeDocument/2006/relationships/hyperlink" Id="rId62" Target="../07-governanca/02-privacidade-rgpd.md" TargetMode="External" /><Relationship Type="http://schemas.openxmlformats.org/officeDocument/2006/relationships/hyperlink" Id="rId57" Target="../07-governanca/04-licencas-e-terceiros.md" TargetMode="External" /><Relationship Type="http://schemas.openxmlformats.org/officeDocument/2006/relationships/hyperlink" Id="rId50" Target="../07-governanca/05-contratacao-e-fornecedores.md" TargetMode="External" /><Relationship Type="http://schemas.openxmlformats.org/officeDocument/2006/relationships/hyperlink" Id="rId61" Target="02-guia-de-contribuicao.md" TargetMode="External" /><Relationship Type="http://schemas.openxmlformats.org/officeDocument/2006/relationships/hyperlink" Id="rId55" Target="03-padroes-codig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05-qualidade/07-dados-de-teste-e-anonimizacao.md" TargetMode="External" /><Relationship Type="http://schemas.openxmlformats.org/officeDocument/2006/relationships/hyperlink" Id="rId63" Target="../07-governanca/01-seguranca.md" TargetMode="External" /><Relationship Type="http://schemas.openxmlformats.org/officeDocument/2006/relationships/hyperlink" Id="rId62" Target="../07-governanca/02-privacidade-rgpd.md" TargetMode="External" /><Relationship Type="http://schemas.openxmlformats.org/officeDocument/2006/relationships/hyperlink" Id="rId57" Target="../07-governanca/04-licencas-e-terceiros.md" TargetMode="External" /><Relationship Type="http://schemas.openxmlformats.org/officeDocument/2006/relationships/hyperlink" Id="rId50" Target="../07-governanca/05-contratacao-e-fornecedores.md" TargetMode="External" /><Relationship Type="http://schemas.openxmlformats.org/officeDocument/2006/relationships/hyperlink" Id="rId61" Target="02-guia-de-contribuicao.md" TargetMode="External" /><Relationship Type="http://schemas.openxmlformats.org/officeDocument/2006/relationships/hyperlink" Id="rId55" Target="03-padroes-codig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de IA no Desenvolvimento — {{PROJETO}}</dc:title>
  <dc:creator/>
  <dc:language>pt-PT</dc:language>
  <cp:keywords/>
  <dcterms:created xsi:type="dcterms:W3CDTF">2026-08-24T15:59:24Z</dcterms:created>
  <dcterms:modified xsi:type="dcterms:W3CDTF">2026-08-24T15:59:24Z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