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media/rId54.png" ContentType="image/png"/>
  <Override PartName="/word/media/rId6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Plano de Testes — {{PROJETO}}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Versão</w:t>
            </w:r>
          </w:p>
        </w:tc>
        <w:tc>
          <w:tcPr/>
          <w:p>
            <w:pPr>
              <w:pStyle w:val="Compact"/>
            </w:pPr>
            <w:r>
              <w:t xml:space="preserve">{{0.1}}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Responsável de qualidade</w:t>
            </w:r>
          </w:p>
        </w:tc>
        <w:tc>
          <w:tcPr/>
          <w:p>
            <w:pPr>
              <w:pStyle w:val="Compact"/>
            </w:pPr>
            <w:r>
              <w:t xml:space="preserve">{{Nome}}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{{AAAA-MM-DD}}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Âmbito</w:t>
            </w:r>
          </w:p>
        </w:tc>
        <w:tc>
          <w:tcPr/>
          <w:p>
            <w:pPr>
              <w:pStyle w:val="Compact"/>
            </w:pPr>
            <w:r>
              <w:t xml:space="preserve">{{Versão 1.0}}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53" w:name="objetivos-e-critérios"/>
    <w:p>
      <w:pPr>
        <w:pStyle w:val="Heading2"/>
      </w:pPr>
      <w:r>
        <w:t xml:space="preserve">1. Objetivos e critérios</w:t>
      </w:r>
    </w:p>
    <w:bookmarkStart w:id="49" w:name="objetivos"/>
    <w:p>
      <w:pPr>
        <w:pStyle w:val="Heading3"/>
      </w:pPr>
      <w:r>
        <w:t xml:space="preserve">1.1 Objetivos</w:t>
      </w:r>
    </w:p>
    <w:p>
      <w:pPr>
        <w:pStyle w:val="FirstParagraph"/>
      </w:pPr>
      <w:r>
        <w:t xml:space="preserve">{{O que este plano pretende garantir e que risco cobre.}}</w:t>
      </w:r>
    </w:p>
    <w:bookmarkEnd w:id="49"/>
    <w:bookmarkStart w:id="50" w:name="Xb07a7ea64a60bce8986360c1796aa4d067ddd14"/>
    <w:p>
      <w:pPr>
        <w:pStyle w:val="Heading3"/>
      </w:pPr>
      <w:r>
        <w:t xml:space="preserve">1.2 Critérios de entrada (pode começar a testar quando…)</w:t>
      </w:r>
    </w:p>
    <w:p>
      <w:pPr>
        <w:pStyle w:val="Compact"/>
        <w:numPr>
          <w:ilvl w:val="0"/>
          <w:numId w:val="1001"/>
        </w:numPr>
      </w:pPr>
      <w:r>
        <w:t xml:space="preserve">Funcionalidade implementada e implantada em {{staging}}</w:t>
      </w:r>
    </w:p>
    <w:p>
      <w:pPr>
        <w:pStyle w:val="Compact"/>
        <w:numPr>
          <w:ilvl w:val="0"/>
          <w:numId w:val="1002"/>
        </w:numPr>
      </w:pPr>
      <w:r>
        <w:t xml:space="preserve">Testes unitários a passar no CI</w:t>
      </w:r>
    </w:p>
    <w:p>
      <w:pPr>
        <w:pStyle w:val="Compact"/>
        <w:numPr>
          <w:ilvl w:val="0"/>
          <w:numId w:val="1003"/>
        </w:numPr>
      </w:pPr>
      <w:r>
        <w:t xml:space="preserve">Dados de teste disponíveis</w:t>
      </w:r>
    </w:p>
    <w:p>
      <w:pPr>
        <w:pStyle w:val="Compact"/>
        <w:numPr>
          <w:ilvl w:val="0"/>
          <w:numId w:val="1004"/>
        </w:numPr>
      </w:pPr>
      <w:r>
        <w:t xml:space="preserve">Critérios de aceitação escritos</w:t>
      </w:r>
    </w:p>
    <w:bookmarkEnd w:id="50"/>
    <w:bookmarkStart w:id="51" w:name="critérios-de-saída-pode-lançar-quando"/>
    <w:p>
      <w:pPr>
        <w:pStyle w:val="Heading3"/>
      </w:pPr>
      <w:r>
        <w:t xml:space="preserve">1.3 Critérios de saída (pode lançar quando…)</w:t>
      </w:r>
    </w:p>
    <w:p>
      <w:pPr>
        <w:pStyle w:val="Compact"/>
        <w:numPr>
          <w:ilvl w:val="0"/>
          <w:numId w:val="1005"/>
        </w:numPr>
      </w:pPr>
      <w:r>
        <w:t xml:space="preserve">100% dos casos de teste</w:t>
      </w:r>
      <w:r>
        <w:t xml:space="preserve"> </w:t>
      </w:r>
      <w:r>
        <w:rPr>
          <w:b/>
          <w:bCs/>
        </w:rPr>
        <w:t xml:space="preserve">Críticos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Altos</w:t>
      </w:r>
      <w:r>
        <w:t xml:space="preserve"> </w:t>
      </w:r>
      <w:r>
        <w:t xml:space="preserve">executados</w:t>
      </w:r>
    </w:p>
    <w:p>
      <w:pPr>
        <w:pStyle w:val="Compact"/>
        <w:numPr>
          <w:ilvl w:val="0"/>
          <w:numId w:val="1006"/>
        </w:numPr>
      </w:pPr>
      <w:r>
        <w:t xml:space="preserve">0 defeitos Críticos ou Altos por resolver</w:t>
      </w:r>
    </w:p>
    <w:p>
      <w:pPr>
        <w:pStyle w:val="Compact"/>
        <w:numPr>
          <w:ilvl w:val="0"/>
          <w:numId w:val="1007"/>
        </w:numPr>
      </w:pPr>
      <w:r>
        <w:t xml:space="preserve">≤ {{3}} defeitos Médios conhecidos, documentados e aceites</w:t>
      </w:r>
    </w:p>
    <w:p>
      <w:pPr>
        <w:pStyle w:val="Compact"/>
        <w:numPr>
          <w:ilvl w:val="0"/>
          <w:numId w:val="1008"/>
        </w:numPr>
      </w:pPr>
      <w:r>
        <w:t xml:space="preserve">Cobertura de código ≥ {{80%}} no domínio</w:t>
      </w:r>
    </w:p>
    <w:p>
      <w:pPr>
        <w:pStyle w:val="Compact"/>
        <w:numPr>
          <w:ilvl w:val="0"/>
          <w:numId w:val="1009"/>
        </w:numPr>
      </w:pPr>
      <w:r>
        <w:t xml:space="preserve">Testes de desempenho dentro de RNF-01</w:t>
      </w:r>
    </w:p>
    <w:p>
      <w:pPr>
        <w:pStyle w:val="Compact"/>
        <w:numPr>
          <w:ilvl w:val="0"/>
          <w:numId w:val="1010"/>
        </w:numPr>
      </w:pPr>
      <w:r>
        <w:t xml:space="preserve">Auditoria de acessibilidade sem falhas de nível A ou AA</w:t>
      </w:r>
    </w:p>
    <w:p>
      <w:pPr>
        <w:pStyle w:val="Compact"/>
        <w:numPr>
          <w:ilvl w:val="0"/>
          <w:numId w:val="1011"/>
        </w:numPr>
      </w:pPr>
      <w:r>
        <w:t xml:space="preserve">Análise de segurança sem vulnerabilidades Críticas/Altas</w:t>
      </w:r>
    </w:p>
    <w:bookmarkEnd w:id="51"/>
    <w:bookmarkStart w:id="52" w:name="critérios-de-suspensão"/>
    <w:p>
      <w:pPr>
        <w:pStyle w:val="Heading3"/>
      </w:pPr>
      <w:r>
        <w:t xml:space="preserve">1.4 Critérios de suspensão</w:t>
      </w:r>
    </w:p>
    <w:p>
      <w:pPr>
        <w:pStyle w:val="FirstParagraph"/>
      </w:pPr>
      <w:r>
        <w:t xml:space="preserve">Suspender os testes se: {{ambiente indisponível &gt; 4 h; defeito bloqueante que impede &gt; 30% dos casos}}.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7" w:name="pirâmide-de-testes"/>
    <w:p>
      <w:pPr>
        <w:pStyle w:val="Heading2"/>
      </w:pPr>
      <w:r>
        <w:t xml:space="preserve">2. Pirâmide de testes</w:t>
      </w:r>
    </w:p>
    <w:p>
      <w:pPr>
        <w:pStyle w:val="FirstParagraph"/>
      </w:pPr>
      <w:r>
        <w:drawing>
          <wp:inline>
            <wp:extent cx="5068799" cy="7919081"/>
            <wp:effectExtent b="0" l="0" r="0" t="0"/>
            <wp:docPr descr="" title="" id="55" name="Picture"/>
            <a:graphic>
              <a:graphicData uri="http://schemas.openxmlformats.org/drawingml/2006/picture">
                <pic:pic>
                  <pic:nvPicPr>
                    <pic:cNvPr descr="out-1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8799" cy="79190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Nível</w:t>
            </w:r>
          </w:p>
        </w:tc>
        <w:tc>
          <w:tcPr/>
          <w:p>
            <w:pPr>
              <w:pStyle w:val="Compact"/>
            </w:pPr>
            <w:r>
              <w:t xml:space="preserve">O que testa</w:t>
            </w:r>
          </w:p>
        </w:tc>
        <w:tc>
          <w:tcPr/>
          <w:p>
            <w:pPr>
              <w:pStyle w:val="Compact"/>
            </w:pPr>
            <w:r>
              <w:t xml:space="preserve">Alvo de tempo</w:t>
            </w:r>
          </w:p>
        </w:tc>
        <w:tc>
          <w:tcPr/>
          <w:p>
            <w:pPr>
              <w:pStyle w:val="Compact"/>
            </w:pPr>
            <w:r>
              <w:t xml:space="preserve">Ferramenta</w:t>
            </w:r>
          </w:p>
        </w:tc>
        <w:tc>
          <w:tcPr/>
          <w:p>
            <w:pPr>
              <w:pStyle w:val="Compact"/>
            </w:pPr>
            <w:r>
              <w:t xml:space="preserve">Quando corre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Unitário</w:t>
            </w:r>
          </w:p>
        </w:tc>
        <w:tc>
          <w:tcPr/>
          <w:p>
            <w:pPr>
              <w:pStyle w:val="Compact"/>
            </w:pPr>
            <w:r>
              <w:t xml:space="preserve">Regras de negócio, funções puras</w:t>
            </w:r>
          </w:p>
        </w:tc>
        <w:tc>
          <w:tcPr/>
          <w:p>
            <w:pPr>
              <w:pStyle w:val="Compact"/>
            </w:pPr>
            <w:r>
              <w:t xml:space="preserve">&lt; 10 ms cada; suite &lt; 60 s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Cada commit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Integração</w:t>
            </w:r>
          </w:p>
        </w:tc>
        <w:tc>
          <w:tcPr/>
          <w:p>
            <w:pPr>
              <w:pStyle w:val="Compact"/>
            </w:pPr>
            <w:r>
              <w:t xml:space="preserve">Serviço + BD + fila reais (containers)</w:t>
            </w:r>
          </w:p>
        </w:tc>
        <w:tc>
          <w:tcPr/>
          <w:p>
            <w:pPr>
              <w:pStyle w:val="Compact"/>
            </w:pPr>
            <w:r>
              <w:t xml:space="preserve">&lt; 5 min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Cada PR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Contrato</w:t>
            </w:r>
          </w:p>
        </w:tc>
        <w:tc>
          <w:tcPr/>
          <w:p>
            <w:pPr>
              <w:pStyle w:val="Compact"/>
            </w:pPr>
            <w:r>
              <w:t xml:space="preserve">Compatibilidade entre API e consumidores</w:t>
            </w:r>
          </w:p>
        </w:tc>
        <w:tc>
          <w:tcPr/>
          <w:p>
            <w:pPr>
              <w:pStyle w:val="Compact"/>
            </w:pPr>
            <w:r>
              <w:t xml:space="preserve">&lt; 1 min</w:t>
            </w:r>
          </w:p>
        </w:tc>
        <w:tc>
          <w:tcPr/>
          <w:p>
            <w:pPr>
              <w:pStyle w:val="Compact"/>
            </w:pPr>
            <w:r>
              <w:t xml:space="preserve">{{Pact}}</w:t>
            </w:r>
          </w:p>
        </w:tc>
        <w:tc>
          <w:tcPr/>
          <w:p>
            <w:pPr>
              <w:pStyle w:val="Compact"/>
            </w:pPr>
            <w:r>
              <w:t xml:space="preserve">Cada PR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</w:t>
            </w:r>
          </w:p>
        </w:tc>
        <w:tc>
          <w:tcPr/>
          <w:p>
            <w:pPr>
              <w:pStyle w:val="Compact"/>
            </w:pPr>
            <w:r>
              <w:t xml:space="preserve">Percursos críticos completos</w:t>
            </w:r>
          </w:p>
        </w:tc>
        <w:tc>
          <w:tcPr/>
          <w:p>
            <w:pPr>
              <w:pStyle w:val="Compact"/>
            </w:pPr>
            <w:r>
              <w:t xml:space="preserve">&lt; 15 min</w:t>
            </w:r>
          </w:p>
        </w:tc>
        <w:tc>
          <w:tcPr/>
          <w:p>
            <w:pPr>
              <w:pStyle w:val="Compact"/>
            </w:pPr>
            <w:r>
              <w:t xml:space="preserve">{{Playwright}}</w:t>
            </w:r>
          </w:p>
        </w:tc>
        <w:tc>
          <w:tcPr/>
          <w:p>
            <w:pPr>
              <w:pStyle w:val="Compact"/>
            </w:pPr>
            <w:r>
              <w:t xml:space="preserve">Antes do merge + noturno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Carga</w:t>
            </w:r>
          </w:p>
        </w:tc>
        <w:tc>
          <w:tcPr/>
          <w:p>
            <w:pPr>
              <w:pStyle w:val="Compact"/>
            </w:pPr>
            <w:r>
              <w:t xml:space="preserve">RNF de desempenho</w:t>
            </w:r>
          </w:p>
        </w:tc>
        <w:tc>
          <w:tcPr/>
          <w:p>
            <w:pPr>
              <w:pStyle w:val="Compact"/>
            </w:pPr>
            <w:r>
              <w:t xml:space="preserve">{{30 min}}</w:t>
            </w:r>
          </w:p>
        </w:tc>
        <w:tc>
          <w:tcPr/>
          <w:p>
            <w:pPr>
              <w:pStyle w:val="Compact"/>
            </w:pPr>
            <w:r>
              <w:t xml:space="preserve">{{k6}}</w:t>
            </w:r>
          </w:p>
        </w:tc>
        <w:tc>
          <w:tcPr/>
          <w:p>
            <w:pPr>
              <w:pStyle w:val="Compact"/>
            </w:pPr>
            <w:r>
              <w:t xml:space="preserve">Semanal + antes de release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Segurança</w:t>
            </w:r>
          </w:p>
        </w:tc>
        <w:tc>
          <w:tcPr/>
          <w:p>
            <w:pPr>
              <w:pStyle w:val="Compact"/>
            </w:pPr>
            <w:r>
              <w:t xml:space="preserve">SAST, SCA, DAST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Cada PR / noturno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Acessibilidade</w:t>
            </w:r>
          </w:p>
        </w:tc>
        <w:tc>
          <w:tcPr/>
          <w:p>
            <w:pPr>
              <w:pStyle w:val="Compact"/>
            </w:pPr>
            <w:r>
              <w:t xml:space="preserve">WCAG 2.2 AA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{{axe}} + manual</w:t>
            </w:r>
          </w:p>
        </w:tc>
        <w:tc>
          <w:tcPr/>
          <w:p>
            <w:pPr>
              <w:pStyle w:val="Compact"/>
            </w:pPr>
            <w:r>
              <w:t xml:space="preserve">Cada PR / por release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Exploratório</w:t>
            </w:r>
          </w:p>
        </w:tc>
        <w:tc>
          <w:tcPr/>
          <w:p>
            <w:pPr>
              <w:pStyle w:val="Compact"/>
            </w:pPr>
            <w:r>
              <w:t xml:space="preserve">O que os scripts não antecipam</w:t>
            </w:r>
          </w:p>
        </w:tc>
        <w:tc>
          <w:tcPr/>
          <w:p>
            <w:pPr>
              <w:pStyle w:val="Compact"/>
            </w:pPr>
            <w:r>
              <w:t xml:space="preserve">{{2 h por release}}</w:t>
            </w:r>
          </w:p>
        </w:tc>
        <w:tc>
          <w:tcPr/>
          <w:p>
            <w:pPr>
              <w:pStyle w:val="Compact"/>
            </w:pPr>
            <w:r>
              <w:t xml:space="preserve">Humano</w:t>
            </w:r>
          </w:p>
        </w:tc>
        <w:tc>
          <w:tcPr/>
          <w:p>
            <w:pPr>
              <w:pStyle w:val="Compact"/>
            </w:pPr>
            <w:r>
              <w:t xml:space="preserve">Por release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7"/>
    <w:bookmarkStart w:id="60" w:name="âmbito"/>
    <w:p>
      <w:pPr>
        <w:pStyle w:val="Heading2"/>
      </w:pPr>
      <w:r>
        <w:t xml:space="preserve">3. Âmbito</w:t>
      </w:r>
    </w:p>
    <w:bookmarkStart w:id="58" w:name="a-testar"/>
    <w:p>
      <w:pPr>
        <w:pStyle w:val="Heading3"/>
      </w:pPr>
      <w:r>
        <w:t xml:space="preserve">3.1 A testar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Área</w:t>
            </w:r>
          </w:p>
        </w:tc>
        <w:tc>
          <w:tcPr/>
          <w:p>
            <w:pPr>
              <w:pStyle w:val="Compact"/>
            </w:pPr>
            <w:r>
              <w:t xml:space="preserve">Prioridade</w:t>
            </w:r>
          </w:p>
        </w:tc>
        <w:tc>
          <w:tcPr/>
          <w:p>
            <w:pPr>
              <w:pStyle w:val="Compact"/>
            </w:pPr>
            <w:r>
              <w:t xml:space="preserve">Justificação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{{Criação e aprovação de encomendas}}</w:t>
            </w:r>
          </w:p>
        </w:tc>
        <w:tc>
          <w:tcPr/>
          <w:p>
            <w:pPr>
              <w:pStyle w:val="Compact"/>
            </w:pPr>
            <w:r>
              <w:t xml:space="preserve">Crítica</w:t>
            </w:r>
          </w:p>
        </w:tc>
        <w:tc>
          <w:tcPr/>
          <w:p>
            <w:pPr>
              <w:pStyle w:val="Compact"/>
            </w:pPr>
            <w:r>
              <w:t xml:space="preserve">{{Fluxo de receita}}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{{Autenticação e permissões}}</w:t>
            </w:r>
          </w:p>
        </w:tc>
        <w:tc>
          <w:tcPr/>
          <w:p>
            <w:pPr>
              <w:pStyle w:val="Compact"/>
            </w:pPr>
            <w:r>
              <w:t xml:space="preserve">Crítica</w:t>
            </w:r>
          </w:p>
        </w:tc>
        <w:tc>
          <w:tcPr/>
          <w:p>
            <w:pPr>
              <w:pStyle w:val="Compact"/>
            </w:pPr>
            <w:r>
              <w:t xml:space="preserve">{{Segurança}}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{{Cálculo de preços}}</w:t>
            </w:r>
          </w:p>
        </w:tc>
        <w:tc>
          <w:tcPr/>
          <w:p>
            <w:pPr>
              <w:pStyle w:val="Compact"/>
            </w:pPr>
            <w:r>
              <w:t xml:space="preserve">Crítica</w:t>
            </w:r>
          </w:p>
        </w:tc>
        <w:tc>
          <w:tcPr/>
          <w:p>
            <w:pPr>
              <w:pStyle w:val="Compact"/>
            </w:pPr>
            <w:r>
              <w:t xml:space="preserve">{{Impacto financeiro}}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{{Relatórios}}</w:t>
            </w:r>
          </w:p>
        </w:tc>
        <w:tc>
          <w:tcPr/>
          <w:p>
            <w:pPr>
              <w:pStyle w:val="Compact"/>
            </w:pPr>
            <w:r>
              <w:t xml:space="preserve">Média</w:t>
            </w:r>
          </w:p>
        </w:tc>
        <w:tc>
          <w:tcPr/>
          <w:p>
            <w:pPr>
              <w:pStyle w:val="Compact"/>
            </w:pPr>
            <w:r>
              <w:t xml:space="preserve">{{Erro tolerável, corrigível}}</w:t>
            </w:r>
          </w:p>
        </w:tc>
      </w:tr>
    </w:tbl>
    <w:bookmarkEnd w:id="58"/>
    <w:bookmarkStart w:id="59" w:name="não-a-testar-e-porquê"/>
    <w:p>
      <w:pPr>
        <w:pStyle w:val="Heading3"/>
      </w:pPr>
      <w:r>
        <w:t xml:space="preserve">3.2 Não a testar (e porquê)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Área</w:t>
            </w:r>
          </w:p>
        </w:tc>
        <w:tc>
          <w:tcPr/>
          <w:p>
            <w:pPr>
              <w:pStyle w:val="Compact"/>
            </w:pPr>
            <w:r>
              <w:t xml:space="preserve">Motivo</w:t>
            </w:r>
          </w:p>
        </w:tc>
        <w:tc>
          <w:tcPr/>
          <w:p>
            <w:pPr>
              <w:pStyle w:val="Compact"/>
            </w:pPr>
            <w:r>
              <w:t xml:space="preserve">Risco aceite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{{Interface do fornecedor de pagamento}}</w:t>
            </w:r>
          </w:p>
        </w:tc>
        <w:tc>
          <w:tcPr/>
          <w:p>
            <w:pPr>
              <w:pStyle w:val="Compact"/>
            </w:pPr>
            <w:r>
              <w:t xml:space="preserve">Sistema de terceiros certificado</w:t>
            </w:r>
          </w:p>
        </w:tc>
        <w:tc>
          <w:tcPr/>
          <w:p>
            <w:pPr>
              <w:pStyle w:val="Compact"/>
            </w:pPr>
            <w:r>
              <w:t xml:space="preserve">{{Baixo}}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9"/>
    <w:bookmarkEnd w:id="60"/>
    <w:bookmarkStart w:id="61" w:name="abordagem-baseada-em-risco"/>
    <w:p>
      <w:pPr>
        <w:pStyle w:val="Heading2"/>
      </w:pPr>
      <w:r>
        <w:t xml:space="preserve">4. Abordagem baseada em risco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Funcionalidade</w:t>
            </w:r>
          </w:p>
        </w:tc>
        <w:tc>
          <w:tcPr/>
          <w:p>
            <w:pPr>
              <w:pStyle w:val="Compact"/>
            </w:pPr>
            <w:r>
              <w:t xml:space="preserve">Probabilidade de falha</w:t>
            </w:r>
          </w:p>
        </w:tc>
        <w:tc>
          <w:tcPr/>
          <w:p>
            <w:pPr>
              <w:pStyle w:val="Compact"/>
            </w:pPr>
            <w:r>
              <w:t xml:space="preserve">Impacto</w:t>
            </w:r>
          </w:p>
        </w:tc>
        <w:tc>
          <w:tcPr/>
          <w:p>
            <w:pPr>
              <w:pStyle w:val="Compact"/>
            </w:pPr>
            <w:r>
              <w:t xml:space="preserve">Risco</w:t>
            </w:r>
          </w:p>
        </w:tc>
        <w:tc>
          <w:tcPr/>
          <w:p>
            <w:pPr>
              <w:pStyle w:val="Compact"/>
            </w:pPr>
            <w:r>
              <w:t xml:space="preserve">Intensidade de teste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{{Cálculo de preços}}</w:t>
            </w:r>
          </w:p>
        </w:tc>
        <w:tc>
          <w:tcPr/>
          <w:p>
            <w:pPr>
              <w:pStyle w:val="Compact"/>
            </w:pPr>
            <w:r>
              <w:t xml:space="preserve">Média</w:t>
            </w:r>
          </w:p>
        </w:tc>
        <w:tc>
          <w:tcPr/>
          <w:p>
            <w:pPr>
              <w:pStyle w:val="Compact"/>
            </w:pPr>
            <w:r>
              <w:t xml:space="preserve">Alto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Alto</w:t>
            </w:r>
          </w:p>
        </w:tc>
        <w:tc>
          <w:tcPr/>
          <w:p>
            <w:pPr>
              <w:pStyle w:val="Compact"/>
            </w:pPr>
            <w:r>
              <w:t xml:space="preserve">Unitários exaustivos + property-based + revisão dupla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{{Aprovação}}</w:t>
            </w:r>
          </w:p>
        </w:tc>
        <w:tc>
          <w:tcPr/>
          <w:p>
            <w:pPr>
              <w:pStyle w:val="Compact"/>
            </w:pPr>
            <w:r>
              <w:t xml:space="preserve">Baixa</w:t>
            </w:r>
          </w:p>
        </w:tc>
        <w:tc>
          <w:tcPr/>
          <w:p>
            <w:pPr>
              <w:pStyle w:val="Compact"/>
            </w:pPr>
            <w:r>
              <w:t xml:space="preserve">Alto</w:t>
            </w:r>
          </w:p>
        </w:tc>
        <w:tc>
          <w:tcPr/>
          <w:p>
            <w:pPr>
              <w:pStyle w:val="Compact"/>
            </w:pPr>
            <w:r>
              <w:t xml:space="preserve">Médio</w:t>
            </w:r>
          </w:p>
        </w:tc>
        <w:tc>
          <w:tcPr/>
          <w:p>
            <w:pPr>
              <w:pStyle w:val="Compact"/>
            </w:pPr>
            <w:r>
              <w:t xml:space="preserve">Unitários + E2E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{{Exportação CSV}}</w:t>
            </w:r>
          </w:p>
        </w:tc>
        <w:tc>
          <w:tcPr/>
          <w:p>
            <w:pPr>
              <w:pStyle w:val="Compact"/>
            </w:pPr>
            <w:r>
              <w:t xml:space="preserve">Média</w:t>
            </w:r>
          </w:p>
        </w:tc>
        <w:tc>
          <w:tcPr/>
          <w:p>
            <w:pPr>
              <w:pStyle w:val="Compact"/>
            </w:pPr>
            <w:r>
              <w:t xml:space="preserve">Baixo</w:t>
            </w:r>
          </w:p>
        </w:tc>
        <w:tc>
          <w:tcPr/>
          <w:p>
            <w:pPr>
              <w:pStyle w:val="Compact"/>
            </w:pPr>
            <w:r>
              <w:t xml:space="preserve">Baixo</w:t>
            </w:r>
          </w:p>
        </w:tc>
        <w:tc>
          <w:tcPr/>
          <w:p>
            <w:pPr>
              <w:pStyle w:val="Compact"/>
            </w:pPr>
            <w:r>
              <w:t xml:space="preserve">Um caso feliz + um de erro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1"/>
    <w:bookmarkStart w:id="63" w:name="ambientes-e-dados"/>
    <w:p>
      <w:pPr>
        <w:pStyle w:val="Heading2"/>
      </w:pPr>
      <w:r>
        <w:t xml:space="preserve">5. Ambientes e dados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Ambiente</w:t>
            </w:r>
          </w:p>
        </w:tc>
        <w:tc>
          <w:tcPr/>
          <w:p>
            <w:pPr>
              <w:pStyle w:val="Compact"/>
            </w:pPr>
            <w:r>
              <w:t xml:space="preserve">Finalidade</w:t>
            </w:r>
          </w:p>
        </w:tc>
        <w:tc>
          <w:tcPr/>
          <w:p>
            <w:pPr>
              <w:pStyle w:val="Compact"/>
            </w:pPr>
            <w:r>
              <w:t xml:space="preserve">Dados</w:t>
            </w:r>
          </w:p>
        </w:tc>
        <w:tc>
          <w:tcPr/>
          <w:p>
            <w:pPr>
              <w:pStyle w:val="Compact"/>
            </w:pPr>
            <w:r>
              <w:t xml:space="preserve">Reposição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Local</w:t>
            </w:r>
          </w:p>
        </w:tc>
        <w:tc>
          <w:tcPr/>
          <w:p>
            <w:pPr>
              <w:pStyle w:val="Compact"/>
            </w:pPr>
            <w:r>
              <w:t xml:space="preserve">Desenvolvimento</w:t>
            </w:r>
          </w:p>
        </w:tc>
        <w:tc>
          <w:tcPr/>
          <w:p>
            <w:pPr>
              <w:pStyle w:val="Compact"/>
            </w:pPr>
            <w:r>
              <w:t xml:space="preserve">Sintéticos (</w:t>
            </w:r>
            <w:r>
              <w:rPr>
                <w:rStyle w:val="VerbatimChar"/>
              </w:rPr>
              <w:t xml:space="preserve">make seed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A pedido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</w:t>
            </w:r>
          </w:p>
        </w:tc>
        <w:tc>
          <w:tcPr/>
          <w:p>
            <w:pPr>
              <w:pStyle w:val="Compact"/>
            </w:pPr>
            <w:r>
              <w:t xml:space="preserve">Automáticos</w:t>
            </w:r>
          </w:p>
        </w:tc>
        <w:tc>
          <w:tcPr/>
          <w:p>
            <w:pPr>
              <w:pStyle w:val="Compact"/>
            </w:pPr>
            <w:r>
              <w:t xml:space="preserve">Gerados por teste</w:t>
            </w:r>
          </w:p>
        </w:tc>
        <w:tc>
          <w:tcPr/>
          <w:p>
            <w:pPr>
              <w:pStyle w:val="Compact"/>
            </w:pPr>
            <w:r>
              <w:t xml:space="preserve">Cada execução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Staging</w:t>
            </w:r>
          </w:p>
        </w:tc>
        <w:tc>
          <w:tcPr/>
          <w:p>
            <w:pPr>
              <w:pStyle w:val="Compact"/>
            </w:pPr>
            <w:r>
              <w:t xml:space="preserve">Aceitação, E2E, carga</w:t>
            </w:r>
          </w:p>
        </w:tc>
        <w:tc>
          <w:tcPr/>
          <w:p>
            <w:pPr>
              <w:pStyle w:val="Compact"/>
            </w:pPr>
            <w:r>
              <w:t xml:space="preserve">Anonimizados de produção</w:t>
            </w:r>
          </w:p>
        </w:tc>
        <w:tc>
          <w:tcPr/>
          <w:p>
            <w:pPr>
              <w:pStyle w:val="Compact"/>
            </w:pPr>
            <w:r>
              <w:t xml:space="preserve">{{Semanal}}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Produção</w:t>
            </w:r>
          </w:p>
        </w:tc>
        <w:tc>
          <w:tcPr/>
          <w:p>
            <w:pPr>
              <w:pStyle w:val="Compact"/>
            </w:pPr>
            <w:r>
              <w:t xml:space="preserve">Testes de fumo pós-deploy</w:t>
            </w:r>
          </w:p>
        </w:tc>
        <w:tc>
          <w:tcPr/>
          <w:p>
            <w:pPr>
              <w:pStyle w:val="Compact"/>
            </w:pPr>
            <w:r>
              <w:t xml:space="preserve">Reais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/>
          <w:bCs/>
        </w:rPr>
        <w:t xml:space="preserve">Regra de ouro:</w:t>
      </w:r>
      <w:r>
        <w:t xml:space="preserve"> </w:t>
      </w:r>
      <w:r>
        <w:t xml:space="preserve">nunca dados pessoais reais em ambientes de teste. A anonimização é irreversível e verificada. Ver</w:t>
      </w:r>
      <w:r>
        <w:t xml:space="preserve"> </w:t>
      </w:r>
      <w:hyperlink r:id="rId62">
        <w:r>
          <w:rPr>
            <w:rStyle w:val="Hyperlink"/>
          </w:rPr>
          <w:t xml:space="preserve">Privacidade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63"/>
    <w:bookmarkStart w:id="70" w:name="gestão-de-defeitos"/>
    <w:p>
      <w:pPr>
        <w:pStyle w:val="Heading2"/>
      </w:pPr>
      <w:r>
        <w:t xml:space="preserve">6. Gestão de defeitos</w:t>
      </w:r>
    </w:p>
    <w:bookmarkStart w:id="64" w:name="gravidade"/>
    <w:p>
      <w:pPr>
        <w:pStyle w:val="Heading3"/>
      </w:pPr>
      <w:r>
        <w:t xml:space="preserve">Gravidade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Nível</w:t>
            </w:r>
          </w:p>
        </w:tc>
        <w:tc>
          <w:tcPr/>
          <w:p>
            <w:pPr>
              <w:pStyle w:val="Compact"/>
            </w:pPr>
            <w:r>
              <w:t xml:space="preserve">Definição</w:t>
            </w:r>
          </w:p>
        </w:tc>
        <w:tc>
          <w:tcPr/>
          <w:p>
            <w:pPr>
              <w:pStyle w:val="Compact"/>
            </w:pPr>
            <w:r>
              <w:t xml:space="preserve">Prazo de resolução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Crítica</w:t>
            </w:r>
          </w:p>
        </w:tc>
        <w:tc>
          <w:tcPr/>
          <w:p>
            <w:pPr>
              <w:pStyle w:val="Compact"/>
            </w:pPr>
            <w:r>
              <w:t xml:space="preserve">Sistema inutilizável, perda de dados, falha de segurança</w:t>
            </w:r>
          </w:p>
        </w:tc>
        <w:tc>
          <w:tcPr/>
          <w:p>
            <w:pPr>
              <w:pStyle w:val="Compact"/>
            </w:pPr>
            <w:r>
              <w:t xml:space="preserve">{{Imediato — bloqueia release}}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Funcionalidade principal inutilizável, sem alternativa</w:t>
            </w:r>
          </w:p>
        </w:tc>
        <w:tc>
          <w:tcPr/>
          <w:p>
            <w:pPr>
              <w:pStyle w:val="Compact"/>
            </w:pPr>
            <w:r>
              <w:t xml:space="preserve">{{≤ 2 dias — bloqueia release}}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Média</w:t>
            </w:r>
          </w:p>
        </w:tc>
        <w:tc>
          <w:tcPr/>
          <w:p>
            <w:pPr>
              <w:pStyle w:val="Compact"/>
            </w:pPr>
            <w:r>
              <w:t xml:space="preserve">Funcionalidade degradada com alternativa</w:t>
            </w:r>
          </w:p>
        </w:tc>
        <w:tc>
          <w:tcPr/>
          <w:p>
            <w:pPr>
              <w:pStyle w:val="Compact"/>
            </w:pPr>
            <w:r>
              <w:t xml:space="preserve">{{≤ 2 semanas}}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Baixa</w:t>
            </w:r>
          </w:p>
        </w:tc>
        <w:tc>
          <w:tcPr/>
          <w:p>
            <w:pPr>
              <w:pStyle w:val="Compact"/>
            </w:pPr>
            <w:r>
              <w:t xml:space="preserve">Cosmético, irritante</w:t>
            </w:r>
          </w:p>
        </w:tc>
        <w:tc>
          <w:tcPr/>
          <w:p>
            <w:pPr>
              <w:pStyle w:val="Compact"/>
            </w:pPr>
            <w:r>
              <w:t xml:space="preserve">{{Backlog}}</w:t>
            </w:r>
          </w:p>
        </w:tc>
      </w:tr>
    </w:tbl>
    <w:bookmarkEnd w:id="64"/>
    <w:bookmarkStart w:id="68" w:name="ciclo-de-vida"/>
    <w:p>
      <w:pPr>
        <w:pStyle w:val="Heading3"/>
      </w:pPr>
      <w:r>
        <w:t xml:space="preserve">Ciclo de vida</w:t>
      </w:r>
    </w:p>
    <w:p>
      <w:pPr>
        <w:pStyle w:val="FirstParagraph"/>
      </w:pPr>
      <w:r>
        <w:drawing>
          <wp:inline>
            <wp:extent cx="5900399" cy="7921084"/>
            <wp:effectExtent b="0" l="0" r="0" t="0"/>
            <wp:docPr descr="" title="" id="66" name="Picture"/>
            <a:graphic>
              <a:graphicData uri="http://schemas.openxmlformats.org/drawingml/2006/picture">
                <pic:pic>
                  <pic:nvPicPr>
                    <pic:cNvPr descr="out-2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0399" cy="79210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8"/>
    <w:bookmarkStart w:id="69" w:name="modelo-de-registo"/>
    <w:p>
      <w:pPr>
        <w:pStyle w:val="Heading3"/>
      </w:pPr>
      <w:r>
        <w:t xml:space="preserve">Modelo de registo</w:t>
      </w:r>
    </w:p>
    <w:p>
      <w:pPr>
        <w:pStyle w:val="SourceCode"/>
      </w:pPr>
      <w:r>
        <w:rPr>
          <w:rStyle w:val="NormalTok"/>
        </w:rPr>
        <w:t xml:space="preserve">**ID:** BUG-{{nnn}} · **Gravidade:** {{Alta}} · **Ambiente:** {{staging v1.4.2}}</w:t>
      </w:r>
      <w:r>
        <w:br/>
      </w:r>
      <w:r>
        <w:rPr>
          <w:rStyle w:val="NormalTok"/>
        </w:rPr>
        <w:t xml:space="preserve">**Requisito afetado:** {{RF-07}} · **Caso de teste:** {{TC-012}}</w:t>
      </w:r>
      <w:r>
        <w:br/>
      </w:r>
      <w:r>
        <w:br/>
      </w:r>
      <w:r>
        <w:rPr>
          <w:rStyle w:val="NormalTok"/>
        </w:rPr>
        <w:t xml:space="preserve">**Passos:** 1. … 2. … 3. …</w:t>
      </w:r>
      <w:r>
        <w:br/>
      </w:r>
      <w:r>
        <w:rPr>
          <w:rStyle w:val="NormalTok"/>
        </w:rPr>
        <w:t xml:space="preserve">**Esperado:** {{...}}</w:t>
      </w:r>
      <w:r>
        <w:br/>
      </w:r>
      <w:r>
        <w:rPr>
          <w:rStyle w:val="NormalTok"/>
        </w:rPr>
        <w:t xml:space="preserve">**Obtido:** {{...}}</w:t>
      </w:r>
      <w:r>
        <w:br/>
      </w:r>
      <w:r>
        <w:rPr>
          <w:rStyle w:val="NormalTok"/>
        </w:rPr>
        <w:t xml:space="preserve">**Frequência:** Sempre / Intermitente ({{3 em 10}})</w:t>
      </w:r>
      <w:r>
        <w:br/>
      </w:r>
      <w:r>
        <w:rPr>
          <w:rStyle w:val="NormalTok"/>
        </w:rPr>
        <w:t xml:space="preserve">**Evidência:** {{captura, log, trace_id}}</w:t>
      </w:r>
      <w:r>
        <w:br/>
      </w:r>
      <w:r>
        <w:rPr>
          <w:rStyle w:val="NormalTok"/>
        </w:rPr>
        <w:t xml:space="preserve">**Alternativa temporária:** {{...}}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1" w:name="automação"/>
    <w:p>
      <w:pPr>
        <w:pStyle w:val="Heading2"/>
      </w:pPr>
      <w:r>
        <w:t xml:space="preserve">7. Automação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Métrica</w:t>
            </w:r>
          </w:p>
        </w:tc>
        <w:tc>
          <w:tcPr/>
          <w:p>
            <w:pPr>
              <w:pStyle w:val="Compact"/>
            </w:pPr>
            <w:r>
              <w:t xml:space="preserve">Atual</w:t>
            </w:r>
          </w:p>
        </w:tc>
        <w:tc>
          <w:tcPr/>
          <w:p>
            <w:pPr>
              <w:pStyle w:val="Compact"/>
            </w:pPr>
            <w:r>
              <w:t xml:space="preserve">Meta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Casos críticos automatizados</w:t>
            </w:r>
          </w:p>
        </w:tc>
        <w:tc>
          <w:tcPr/>
          <w:p>
            <w:pPr>
              <w:pStyle w:val="Compact"/>
            </w:pPr>
            <w:r>
              <w:t xml:space="preserve">{{60%}}</w:t>
            </w:r>
          </w:p>
        </w:tc>
        <w:tc>
          <w:tcPr/>
          <w:p>
            <w:pPr>
              <w:pStyle w:val="Compact"/>
            </w:pPr>
            <w:r>
              <w:t xml:space="preserve">{{95%}}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Duração da suite no CI</w:t>
            </w:r>
          </w:p>
        </w:tc>
        <w:tc>
          <w:tcPr/>
          <w:p>
            <w:pPr>
              <w:pStyle w:val="Compact"/>
            </w:pPr>
            <w:r>
              <w:t xml:space="preserve">{{8 min}}</w:t>
            </w:r>
          </w:p>
        </w:tc>
        <w:tc>
          <w:tcPr/>
          <w:p>
            <w:pPr>
              <w:pStyle w:val="Compact"/>
            </w:pPr>
            <w:r>
              <w:t xml:space="preserve">{{≤ 10 min}}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Testes instáveis (flaky)</w:t>
            </w:r>
          </w:p>
        </w:tc>
        <w:tc>
          <w:tcPr/>
          <w:p>
            <w:pPr>
              <w:pStyle w:val="Compact"/>
            </w:pPr>
            <w:r>
              <w:t xml:space="preserve">{{4}}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</w:tbl>
    <w:p>
      <w:pPr>
        <w:pStyle w:val="BodyText"/>
      </w:pPr>
      <w:r>
        <w:rPr>
          <w:b/>
          <w:bCs/>
        </w:rPr>
        <w:t xml:space="preserve">Política de testes instáveis:</w:t>
      </w:r>
      <w:r>
        <w:t xml:space="preserve"> </w:t>
      </w:r>
      <w:r>
        <w:t xml:space="preserve">um teste instável é um defeito. Marcar, abrir issue, corrigir em ≤ {{1 sprint}}; se não for corrigido, remover — um teste em que não se confia é pior que nenhum.</w:t>
      </w:r>
    </w:p>
    <w:p>
      <w:r>
        <w:pict>
          <v:rect style="width:0;height:1.5pt" o:hralign="center" o:hrstd="t" o:hr="t"/>
        </w:pict>
      </w:r>
    </w:p>
    <w:bookmarkEnd w:id="71"/>
    <w:bookmarkStart w:id="76" w:name="testes-não-funcionais"/>
    <w:p>
      <w:pPr>
        <w:pStyle w:val="Heading2"/>
      </w:pPr>
      <w:r>
        <w:t xml:space="preserve">8. Testes não funcionais</w:t>
      </w:r>
    </w:p>
    <w:bookmarkStart w:id="72" w:name="carga"/>
    <w:p>
      <w:pPr>
        <w:pStyle w:val="Heading3"/>
      </w:pPr>
      <w:r>
        <w:t xml:space="preserve">8.1 Carga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Cenário</w:t>
            </w:r>
          </w:p>
        </w:tc>
        <w:tc>
          <w:tcPr/>
          <w:p>
            <w:pPr>
              <w:pStyle w:val="Compact"/>
            </w:pPr>
            <w:r>
              <w:t xml:space="preserve">Perfil</w:t>
            </w:r>
          </w:p>
        </w:tc>
        <w:tc>
          <w:tcPr/>
          <w:p>
            <w:pPr>
              <w:pStyle w:val="Compact"/>
            </w:pPr>
            <w:r>
              <w:t xml:space="preserve">Duração</w:t>
            </w:r>
          </w:p>
        </w:tc>
        <w:tc>
          <w:tcPr/>
          <w:p>
            <w:pPr>
              <w:pStyle w:val="Compact"/>
            </w:pPr>
            <w:r>
              <w:t xml:space="preserve">Critério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Carga normal</w:t>
            </w:r>
          </w:p>
        </w:tc>
        <w:tc>
          <w:tcPr/>
          <w:p>
            <w:pPr>
              <w:pStyle w:val="Compact"/>
            </w:pPr>
            <w:r>
              <w:t xml:space="preserve">{{100 utilizadores, 50 rps}}</w:t>
            </w:r>
          </w:p>
        </w:tc>
        <w:tc>
          <w:tcPr/>
          <w:p>
            <w:pPr>
              <w:pStyle w:val="Compact"/>
            </w:pPr>
            <w:r>
              <w:t xml:space="preserve">30 min</w:t>
            </w:r>
          </w:p>
        </w:tc>
        <w:tc>
          <w:tcPr/>
          <w:p>
            <w:pPr>
              <w:pStyle w:val="Compact"/>
            </w:pPr>
            <w:r>
              <w:t xml:space="preserve">p95 ≤ 300 ms; erros &lt; 0,1%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Pico</w:t>
            </w:r>
          </w:p>
        </w:tc>
        <w:tc>
          <w:tcPr/>
          <w:p>
            <w:pPr>
              <w:pStyle w:val="Compact"/>
            </w:pPr>
            <w:r>
              <w:t xml:space="preserve">{{500 utilizadores, 250 rps}}</w:t>
            </w:r>
          </w:p>
        </w:tc>
        <w:tc>
          <w:tcPr/>
          <w:p>
            <w:pPr>
              <w:pStyle w:val="Compac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t xml:space="preserve">p95 ≤ 800 ms; erros &lt; 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Resistência (soak)</w:t>
            </w:r>
          </w:p>
        </w:tc>
        <w:tc>
          <w:tcPr/>
          <w:p>
            <w:pPr>
              <w:pStyle w:val="Compact"/>
            </w:pPr>
            <w:r>
              <w:t xml:space="preserve">{{100 utilizadores}}</w:t>
            </w:r>
          </w:p>
        </w:tc>
        <w:tc>
          <w:tcPr/>
          <w:p>
            <w:pPr>
              <w:pStyle w:val="Compact"/>
            </w:pPr>
            <w:r>
              <w:t xml:space="preserve">8 h</w:t>
            </w:r>
          </w:p>
        </w:tc>
        <w:tc>
          <w:tcPr/>
          <w:p>
            <w:pPr>
              <w:pStyle w:val="Compact"/>
            </w:pPr>
            <w:r>
              <w:t xml:space="preserve">Sem fuga de memória; latência estável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Rutura (stress)</w:t>
            </w:r>
          </w:p>
        </w:tc>
        <w:tc>
          <w:tcPr/>
          <w:p>
            <w:pPr>
              <w:pStyle w:val="Compact"/>
            </w:pPr>
            <w:r>
              <w:t xml:space="preserve">Crescente até falhar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Identificar ponto de rutura e degradar sem corromper dados</w:t>
            </w:r>
          </w:p>
        </w:tc>
      </w:tr>
    </w:tbl>
    <w:bookmarkEnd w:id="72"/>
    <w:bookmarkStart w:id="73" w:name="segurança"/>
    <w:p>
      <w:pPr>
        <w:pStyle w:val="Heading3"/>
      </w:pPr>
      <w:r>
        <w:t xml:space="preserve">8.2 Segurança</w:t>
      </w:r>
    </w:p>
    <w:p>
      <w:pPr>
        <w:pStyle w:val="Compact"/>
        <w:numPr>
          <w:ilvl w:val="0"/>
          <w:numId w:val="1012"/>
        </w:numPr>
      </w:pPr>
      <w:r>
        <w:t xml:space="preserve">SAST no CI · [ ] SCA de dependências · [ ] DAST em staging</w:t>
      </w:r>
    </w:p>
    <w:p>
      <w:pPr>
        <w:pStyle w:val="Compact"/>
        <w:numPr>
          <w:ilvl w:val="0"/>
          <w:numId w:val="1013"/>
        </w:numPr>
      </w:pPr>
      <w:r>
        <w:t xml:space="preserve">Teste de autorização: cada endpoint com token de outro tenant → 403/404</w:t>
      </w:r>
    </w:p>
    <w:p>
      <w:pPr>
        <w:pStyle w:val="Compact"/>
        <w:numPr>
          <w:ilvl w:val="0"/>
          <w:numId w:val="1014"/>
        </w:numPr>
      </w:pPr>
      <w:r>
        <w:t xml:space="preserve">Teste de isolamento multi-tenant em todas as tabelas</w:t>
      </w:r>
    </w:p>
    <w:p>
      <w:pPr>
        <w:pStyle w:val="Compact"/>
        <w:numPr>
          <w:ilvl w:val="0"/>
          <w:numId w:val="1015"/>
        </w:numPr>
      </w:pPr>
      <w:r>
        <w:t xml:space="preserve">{{Pentest externo antes do GA}}</w:t>
      </w:r>
    </w:p>
    <w:bookmarkEnd w:id="73"/>
    <w:bookmarkStart w:id="74" w:name="acessibilidade"/>
    <w:p>
      <w:pPr>
        <w:pStyle w:val="Heading3"/>
      </w:pPr>
      <w:r>
        <w:t xml:space="preserve">8.3 Acessibilidade</w:t>
      </w:r>
    </w:p>
    <w:p>
      <w:pPr>
        <w:pStyle w:val="Compact"/>
        <w:numPr>
          <w:ilvl w:val="0"/>
          <w:numId w:val="1016"/>
        </w:numPr>
      </w:pPr>
      <w:r>
        <w:t xml:space="preserve">Automático (axe) sem violações</w:t>
      </w:r>
    </w:p>
    <w:p>
      <w:pPr>
        <w:pStyle w:val="Compact"/>
        <w:numPr>
          <w:ilvl w:val="0"/>
          <w:numId w:val="1017"/>
        </w:numPr>
      </w:pPr>
      <w:r>
        <w:t xml:space="preserve">Navegação completa por teclado, foco visível, ordem lógica</w:t>
      </w:r>
    </w:p>
    <w:p>
      <w:pPr>
        <w:pStyle w:val="Compact"/>
        <w:numPr>
          <w:ilvl w:val="0"/>
          <w:numId w:val="1018"/>
        </w:numPr>
      </w:pPr>
      <w:r>
        <w:t xml:space="preserve">Leitor de ecrã ({{NVDA/VoiceOver}}) nos percursos críticos</w:t>
      </w:r>
    </w:p>
    <w:p>
      <w:pPr>
        <w:pStyle w:val="Compact"/>
        <w:numPr>
          <w:ilvl w:val="0"/>
          <w:numId w:val="1019"/>
        </w:numPr>
      </w:pPr>
      <w:r>
        <w:t xml:space="preserve">Contraste ≥ 4,5:1 · Zoom 200% sem perda de conteúdo</w:t>
      </w:r>
    </w:p>
    <w:p>
      <w:pPr>
        <w:pStyle w:val="Compact"/>
        <w:numPr>
          <w:ilvl w:val="0"/>
          <w:numId w:val="1020"/>
        </w:numPr>
      </w:pPr>
      <w:r>
        <w:t xml:space="preserve">Formulários com etiquetas e erros associados programaticamente</w:t>
      </w:r>
    </w:p>
    <w:bookmarkEnd w:id="74"/>
    <w:bookmarkStart w:id="75" w:name="recuperação"/>
    <w:p>
      <w:pPr>
        <w:pStyle w:val="Heading3"/>
      </w:pPr>
      <w:r>
        <w:t xml:space="preserve">8.4 Recuperação</w:t>
      </w:r>
    </w:p>
    <w:p>
      <w:pPr>
        <w:pStyle w:val="Compact"/>
        <w:numPr>
          <w:ilvl w:val="0"/>
          <w:numId w:val="1021"/>
        </w:numPr>
      </w:pPr>
      <w:r>
        <w:t xml:space="preserve">Restauro de cópia de segurança testado ({{trimestral}})</w:t>
      </w:r>
    </w:p>
    <w:p>
      <w:pPr>
        <w:pStyle w:val="Compact"/>
        <w:numPr>
          <w:ilvl w:val="0"/>
          <w:numId w:val="1022"/>
        </w:numPr>
      </w:pPr>
      <w:r>
        <w:t xml:space="preserve">Falha de uma zona de disponibilidade</w:t>
      </w:r>
    </w:p>
    <w:p>
      <w:pPr>
        <w:pStyle w:val="Compact"/>
        <w:numPr>
          <w:ilvl w:val="0"/>
          <w:numId w:val="1023"/>
        </w:numPr>
      </w:pPr>
      <w:r>
        <w:t xml:space="preserve">Dependência externa em baixo → modo degradado conforme especificado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77" w:name="papéis"/>
    <w:p>
      <w:pPr>
        <w:pStyle w:val="Heading2"/>
      </w:pPr>
      <w:r>
        <w:t xml:space="preserve">9. Papéis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Papel</w:t>
            </w:r>
          </w:p>
        </w:tc>
        <w:tc>
          <w:tcPr/>
          <w:p>
            <w:pPr>
              <w:pStyle w:val="Compact"/>
            </w:pPr>
            <w:r>
              <w:t xml:space="preserve">Responsabilidade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{{Programador}}</w:t>
            </w:r>
          </w:p>
        </w:tc>
        <w:tc>
          <w:tcPr/>
          <w:p>
            <w:pPr>
              <w:pStyle w:val="Compact"/>
            </w:pPr>
            <w:r>
              <w:t xml:space="preserve">Testes unitários, de integração e de contrato; corrigir defeitos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{{QA}}</w:t>
            </w:r>
          </w:p>
        </w:tc>
        <w:tc>
          <w:tcPr/>
          <w:p>
            <w:pPr>
              <w:pStyle w:val="Compact"/>
            </w:pPr>
            <w:r>
              <w:t xml:space="preserve">Plano, casos, exploratório, coordenação de UAT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{{PO}}</w:t>
            </w:r>
          </w:p>
        </w:tc>
        <w:tc>
          <w:tcPr/>
          <w:p>
            <w:pPr>
              <w:pStyle w:val="Compact"/>
            </w:pPr>
            <w:r>
              <w:t xml:space="preserve">Aceitação dos critérios; decisão sobre defeitos Médios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{{SRE}}</w:t>
            </w:r>
          </w:p>
        </w:tc>
        <w:tc>
          <w:tcPr/>
          <w:p>
            <w:pPr>
              <w:pStyle w:val="Compact"/>
            </w:pPr>
            <w:r>
              <w:t xml:space="preserve">Carga, caos, recuperação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7"/>
    <w:bookmarkStart w:id="78" w:name="riscos-do-próprio-processo-de-teste"/>
    <w:p>
      <w:pPr>
        <w:pStyle w:val="Heading2"/>
      </w:pPr>
      <w:r>
        <w:t xml:space="preserve">10. Riscos do próprio processo de teste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Risco</w:t>
            </w:r>
          </w:p>
        </w:tc>
        <w:tc>
          <w:tcPr/>
          <w:p>
            <w:pPr>
              <w:pStyle w:val="Compact"/>
            </w:pPr>
            <w:r>
              <w:t xml:space="preserve">Mitigação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{{Staging diverge de produção}}</w:t>
            </w:r>
          </w:p>
        </w:tc>
        <w:tc>
          <w:tcPr/>
          <w:p>
            <w:pPr>
              <w:pStyle w:val="Compact"/>
            </w:pPr>
            <w:r>
              <w:t xml:space="preserve">{{Mesma IaC; comparação de configuração automática}}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{{Dados de teste não representativos}}</w:t>
            </w:r>
          </w:p>
        </w:tc>
        <w:tc>
          <w:tcPr/>
          <w:p>
            <w:pPr>
              <w:pStyle w:val="Compact"/>
            </w:pPr>
            <w:r>
              <w:t xml:space="preserve">{{Anonimização a partir de produção, mensal}}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{{Tempo de teste comprimido no fim}}</w:t>
            </w:r>
          </w:p>
        </w:tc>
        <w:tc>
          <w:tcPr/>
          <w:p>
            <w:pPr>
              <w:pStyle w:val="Compact"/>
            </w:pPr>
            <w:r>
              <w:t xml:space="preserve">{{Testar continuamente; critérios de saída inegociáveis}}</w:t>
            </w:r>
          </w:p>
        </w:tc>
      </w:tr>
    </w:tbl>
    <w:bookmarkEnd w:id="78"/>
    <w:sectPr>
      <w:footerReference xmlns:r="http://schemas.openxmlformats.org/officeDocument/2006/relationships" r:id="rId40" w:type="default"/>
      <w:pgSz w:h="16838" w:w="11906"/>
      <w:pgMar w:bottom="1134" w:footer="709" w:gutter="0" w:header="709" w:left="1021" w:right="1021" w:top="1134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jc w:val="center"/>
      <w:pBdr>
        <w:top w:val="single" w:sz="4" w:space="6" w:color="D6DEE4"/>
      </w:pBdr>
      <w:spacing w:before="60" w:after="0"/>
    </w:pPr>
    <w:r>
      <w:rPr>
        <w:rFonts w:ascii="Calibri" w:hAnsi="Calibri"/>
        <w:sz w:val="16"/>
        <w:color w:val="7A868F"/>
      </w:rPr>
      <w:t xml:space="preserve">Pagina </w:t>
    </w:r>
    <w:r>
      <w:rPr>
        <w:sz w:val="16"/>
        <w:color w:val="7A868F"/>
      </w:rPr>
      <w:fldChar w:fldCharType="begin"/>
    </w:r>
    <w:r>
      <w:rPr>
        <w:sz w:val="16"/>
        <w:color w:val="7A868F"/>
      </w:rPr>
      <w:instrText xml:space="preserve"> PAGE </w:instrText>
    </w:r>
    <w:r>
      <w:rPr>
        <w:sz w:val="16"/>
        <w:color w:val="7A868F"/>
      </w:rPr>
      <w:fldChar w:fldCharType="separate"/>
    </w:r>
    <w:r>
      <w:rPr>
        <w:sz w:val="16"/>
        <w:color w:val="7A868F"/>
      </w:rPr>
      <w:t>1</w:t>
    </w:r>
    <w:r>
      <w:rPr>
        <w:sz w:val="16"/>
        <w:color w:val="7A868F"/>
      </w:rPr>
      <w:fldChar w:fldCharType="end"/>
    </w:r>
    <w:r>
      <w:rPr>
        <w:rFonts w:ascii="Calibri" w:hAnsi="Calibri"/>
        <w:sz w:val="16"/>
        <w:color w:val="7A868F"/>
      </w:rPr>
      <w:t xml:space="preserve"> de </w:t>
    </w:r>
    <w:r>
      <w:rPr>
        <w:sz w:val="16"/>
        <w:color w:val="7A868F"/>
      </w:rPr>
      <w:fldChar w:fldCharType="begin"/>
    </w:r>
    <w:r>
      <w:rPr>
        <w:sz w:val="16"/>
        <w:color w:val="7A868F"/>
      </w:rPr>
      <w:instrText xml:space="preserve"> NUMPAGES </w:instrText>
    </w:r>
    <w:r>
      <w:rPr>
        <w:sz w:val="16"/>
        <w:color w:val="7A868F"/>
      </w:rPr>
      <w:fldChar w:fldCharType="separate"/>
    </w:r>
    <w:r>
      <w:rPr>
        <w:sz w:val="16"/>
        <w:color w:val="7A868F"/>
      </w:rPr>
      <w:t>1</w:t>
    </w:r>
    <w:r>
      <w:rPr>
        <w:sz w:val="16"/>
        <w:color w:val="7A868F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pt-PT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before="0" w:line="264" w:lineRule="auto"/>
    </w:pPr>
    <w:rPr>
      <w:rFonts w:ascii="Calibri" w:cs="Calibri" w:hAnsi="Calibri"/>
      <w:sz w:val="21"/>
      <w:szCs w:val="21"/>
      <w:lang w:bidi="ar-SA" w:eastAsia="pt-PT" w:val="pt-PT"/>
    </w:rPr>
  </w:style>
  <w:style w:styleId="BodyText" w:type="paragraph">
    <w:name w:val="Body Text"/>
    <w:basedOn w:val="Normal"/>
    <w:link w:val="BodyTextChar"/>
    <w:qFormat/>
    <w:pPr>
      <w:spacing w:after="120" w:before="6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20" w:before="20"/>
    </w:pPr>
  </w:style>
  <w:style w:styleId="Title" w:type="paragraph">
    <w:name w:val="Title"/>
    <w:basedOn w:val="Normal"/>
    <w:next w:val="BodyText"/>
    <w:qFormat/>
    <w:pPr>
      <w:keepNext/>
      <w:spacing w:after="120" w:before="0"/>
      <w:pBdr>
        <w:bottom w:color="EF7B10" w:space="6" w:sz="18" w:val="single"/>
      </w:pBdr>
    </w:pPr>
    <w:rPr>
      <w:rFonts w:ascii="Calibri" w:hAnsi="Calibri"/>
      <w:b/>
      <w:color w:val="2224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2514E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pPr>
      <w:keepNext/>
      <w:keepLines/>
      <w:spacing w:after="140" w:before="360"/>
      <w:pBdr>
        <w:bottom w:color="BA5C00" w:space="4" w:sz="6" w:val="single"/>
      </w:pBdr>
      <w:outlineLvl w:val="0"/>
    </w:pPr>
    <w:rPr>
      <w:rFonts w:ascii="Calibri" w:hAnsi="Calibri"/>
      <w:b/>
      <w:color w:val="222428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qFormat/>
    <w:pPr>
      <w:keepNext/>
      <w:keepLines/>
      <w:spacing w:after="110" w:before="280"/>
      <w:outlineLvl w:val="1"/>
    </w:pPr>
    <w:rPr>
      <w:rFonts w:ascii="Calibri" w:hAnsi="Calibri"/>
      <w:b/>
      <w:color w:val="00537E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qFormat/>
    <w:pPr>
      <w:keepNext/>
      <w:keepLines/>
      <w:spacing w:after="90" w:before="220"/>
      <w:outlineLvl w:val="2"/>
    </w:pPr>
    <w:rPr>
      <w:rFonts w:ascii="Calibri" w:hAnsi="Calibri"/>
      <w:b/>
      <w:color w:val="222428"/>
      <w:sz w:val="23"/>
      <w:szCs w:val="23"/>
    </w:rPr>
  </w:style>
  <w:style w:styleId="Heading4" w:type="paragraph">
    <w:name w:val="heading 4"/>
    <w:basedOn w:val="Normal"/>
    <w:next w:val="BodyText"/>
    <w:link w:val="Heading4Char"/>
    <w:uiPriority w:val="9"/>
    <w:qFormat/>
    <w:pPr>
      <w:keepNext/>
      <w:keepLines/>
      <w:spacing w:after="80" w:before="180"/>
      <w:outlineLvl w:val="3"/>
    </w:pPr>
    <w:rPr>
      <w:rFonts w:ascii="Calibri" w:hAnsi="Calibri"/>
      <w:b/>
      <w:color w:val="222428"/>
      <w:sz w:val="21"/>
      <w:szCs w:val="2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222428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2514E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2514E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52514E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52514E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222428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222428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222428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222428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222428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2514E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2514E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52514E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52514E"/>
    </w:rPr>
  </w:style>
  <w:style w:styleId="BlockText" w:type="paragraph">
    <w:name w:val="Block Text"/>
    <w:basedOn w:val="Normal"/>
    <w:qFormat/>
    <w:pPr>
      <w:spacing w:after="120" w:before="120"/>
      <w:ind w:left="240" w:right="120"/>
      <w:shd w:color="auto" w:fill="FEE1CE" w:val="clear"/>
      <w:pBdr>
        <w:left w:color="EF7B10" w:space="8" w:sz="18" w:val="single"/>
      </w:pBdr>
    </w:pPr>
    <w:rPr>
      <w:color w:val="52514E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pPr>
      <w:spacing w:after="20" w:before="20" w:line="240" w:lineRule="auto"/>
    </w:pPr>
    <w:rPr>
      <w:sz w:val="19"/>
      <w:szCs w:val="19"/>
    </w:rPr>
    <w:tblPr>
      <w:tblInd w:type="dxa" w:w="0"/>
      <w:tblBorders>
        <w:top w:color="BFC0C2" w:sz="4" w:val="single"/>
        <w:left w:color="BFC0C2" w:sz="4" w:val="single"/>
        <w:bottom w:color="BFC0C2" w:sz="4" w:val="single"/>
        <w:right w:color="BFC0C2" w:sz="4" w:val="single"/>
        <w:insideH w:color="BFC0C2" w:sz="4" w:val="single"/>
        <w:insideV w:color="BFC0C2" w:sz="4" w:val="single"/>
      </w:tblBorders>
      <w:tblCellMar>
        <w:top w:type="dxa" w:w="60"/>
        <w:left w:type="dxa" w:w="108"/>
        <w:bottom w:type="dxa" w:w="60"/>
        <w:right w:type="dxa" w:w="108"/>
      </w:tblCellMar>
    </w:tblPr>
    <w:tblStylePr w:type="firstRow">
      <w:pPr>
        <w:keepNext/>
      </w:pPr>
      <w:rPr>
        <w:b/>
        <w:color w:val="FFFFFF"/>
      </w:rPr>
      <w:tcPr>
        <w:shd w:color="auto" w:fill="00537E" w:val="clear"/>
        <w:tcBorders>
          <w:bottom w:color="BFC0C2" w:sz="4" w:val="single"/>
        </w:tcBorders>
        <w:vAlign w:val="center"/>
      </w:tcPr>
    </w:tblStylePr>
    <w:tblStylePr w:type="band2Horz">
      <w:tcPr>
        <w:shd w:color="auto" w:fill="F7F8FA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styleId="ImageCaption" w:type="paragraph">
    <w:name w:val="Image Caption"/>
    <w:basedOn w:val="Normal"/>
    <w:qFormat/>
    <w:pPr>
      <w:jc w:val="center"/>
      <w:spacing w:after="200" w:before="60"/>
    </w:pPr>
    <w:rPr>
      <w:i/>
      <w:color w:val="6B6E74"/>
      <w:sz w:val="18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18"/>
      <w:szCs w:val="18"/>
      <w:color w:val="00537E"/>
      <w:shd w:color="auto" w:fill="ECEFF3" w:val="clear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00537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222428"/>
    </w:rPr>
  </w:style>
  <w:style w:customStyle="1" w:styleId="SourceCode" w:type="paragraph">
    <w:name w:val="Source Code"/>
    <w:basedOn w:val="Normal"/>
    <w:qFormat/>
    <w:pPr>
      <w:keepLines/>
      <w:spacing w:after="0" w:before="0" w:line="240" w:lineRule="auto"/>
      <w:ind w:left="120" w:right="120"/>
      <w:shd w:color="auto" w:fill="ECEFF3" w:val="clear"/>
      <w:pBdr>
        <w:top w:color="BFC0C2" w:space="2" w:sz="4" w:val="single"/>
        <w:left w:color="BA5C00" w:space="4" w:sz="18" w:val="single"/>
        <w:bottom w:color="BFC0C2" w:space="2" w:sz="4" w:val="single"/>
        <w:right w:color="BFC0C2" w:space="2" w:sz="4" w:val="single"/>
      </w:pBdr>
    </w:pPr>
    <w:rPr>
      <w:rFonts w:ascii="Consolas" w:hAnsi="Consolas"/>
      <w:sz w:val="17"/>
      <w:szCs w:val="17"/>
    </w:rPr>
  </w:style>
  <w:style w:customStyle="1" w:styleId="KeywordTok" w:type="character">
    <w:name w:val="KeywordTok"/>
    <w:basedOn w:val="VerbatimChar"/>
    <w:rPr>
      <w:b/>
      <w:color w:val="00537e"/>
    </w:rPr>
  </w:style>
  <w:style w:customStyle="1" w:styleId="DataTypeTok" w:type="character">
    <w:name w:val="DataTypeTok"/>
    <w:basedOn w:val="VerbatimChar"/>
    <w:rPr>
      <w:color w:val="00679e"/>
    </w:rPr>
  </w:style>
  <w:style w:customStyle="1" w:styleId="DecValTok" w:type="character">
    <w:name w:val="DecValTok"/>
    <w:basedOn w:val="VerbatimChar"/>
    <w:rPr>
      <w:color w:val="876c0d"/>
    </w:rPr>
  </w:style>
  <w:style w:customStyle="1" w:styleId="BaseNTok" w:type="character">
    <w:name w:val="BaseNTok"/>
    <w:basedOn w:val="VerbatimChar"/>
    <w:rPr>
      <w:color w:val="876c0d"/>
    </w:rPr>
  </w:style>
  <w:style w:customStyle="1" w:styleId="FloatTok" w:type="character">
    <w:name w:val="FloatTok"/>
    <w:basedOn w:val="VerbatimChar"/>
    <w:rPr>
      <w:color w:val="876c0d"/>
    </w:rPr>
  </w:style>
  <w:style w:customStyle="1" w:styleId="ConstantTok" w:type="character">
    <w:name w:val="ConstantTok"/>
    <w:basedOn w:val="VerbatimChar"/>
    <w:rPr>
      <w:color w:val="876c0d"/>
    </w:rPr>
  </w:style>
  <w:style w:customStyle="1" w:styleId="CharTok" w:type="character">
    <w:name w:val="CharTok"/>
    <w:basedOn w:val="VerbatimChar"/>
    <w:rPr>
      <w:color w:val="367c2b"/>
    </w:rPr>
  </w:style>
  <w:style w:customStyle="1" w:styleId="SpecialCharTok" w:type="character">
    <w:name w:val="SpecialCharTok"/>
    <w:basedOn w:val="VerbatimChar"/>
    <w:rPr>
      <w:color w:val="a2451c"/>
    </w:rPr>
  </w:style>
  <w:style w:customStyle="1" w:styleId="StringTok" w:type="character">
    <w:name w:val="StringTok"/>
    <w:basedOn w:val="VerbatimChar"/>
    <w:rPr>
      <w:color w:val="367c2b"/>
    </w:rPr>
  </w:style>
  <w:style w:customStyle="1" w:styleId="VerbatimStringTok" w:type="character">
    <w:name w:val="VerbatimStringTok"/>
    <w:basedOn w:val="VerbatimChar"/>
    <w:rPr>
      <w:color w:val="367c2b"/>
    </w:rPr>
  </w:style>
  <w:style w:customStyle="1" w:styleId="SpecialStringTok" w:type="character">
    <w:name w:val="SpecialStringTok"/>
    <w:basedOn w:val="VerbatimChar"/>
    <w:rPr>
      <w:color w:val="367c2b"/>
    </w:rPr>
  </w:style>
  <w:style w:customStyle="1" w:styleId="ImportTok" w:type="character">
    <w:name w:val="ImportTok"/>
    <w:basedOn w:val="VerbatimChar"/>
    <w:rPr>
      <w:b/>
      <w:color w:val="00537e"/>
    </w:rPr>
  </w:style>
  <w:style w:customStyle="1" w:styleId="CommentTok" w:type="character">
    <w:name w:val="CommentTok"/>
    <w:basedOn w:val="VerbatimChar"/>
    <w:rPr>
      <w:i/>
      <w:color w:val="6b6e74"/>
    </w:rPr>
  </w:style>
  <w:style w:customStyle="1" w:styleId="DocumentationTok" w:type="character">
    <w:name w:val="DocumentationTok"/>
    <w:basedOn w:val="VerbatimChar"/>
    <w:rPr>
      <w:i/>
      <w:color w:val="6b6e74"/>
    </w:rPr>
  </w:style>
  <w:style w:customStyle="1" w:styleId="AnnotationTok" w:type="character">
    <w:name w:val="AnnotationTok"/>
    <w:basedOn w:val="VerbatimChar"/>
    <w:rPr>
      <w:i/>
      <w:color w:val="6b6e74"/>
    </w:rPr>
  </w:style>
  <w:style w:customStyle="1" w:styleId="CommentVarTok" w:type="character">
    <w:name w:val="CommentVarTok"/>
    <w:basedOn w:val="VerbatimChar"/>
    <w:rPr>
      <w:i/>
      <w:color w:val="6b6e74"/>
    </w:rPr>
  </w:style>
  <w:style w:customStyle="1" w:styleId="OtherTok" w:type="character">
    <w:name w:val="OtherTok"/>
    <w:basedOn w:val="VerbatimChar"/>
    <w:rPr>
      <w:color w:val="222428"/>
    </w:rPr>
  </w:style>
  <w:style w:customStyle="1" w:styleId="FunctionTok" w:type="character">
    <w:name w:val="FunctionTok"/>
    <w:basedOn w:val="VerbatimChar"/>
    <w:rPr>
      <w:color w:val="00679e"/>
    </w:rPr>
  </w:style>
  <w:style w:customStyle="1" w:styleId="VariableTok" w:type="character">
    <w:name w:val="VariableTok"/>
    <w:basedOn w:val="VerbatimChar"/>
    <w:rPr>
      <w:color w:val="222428"/>
    </w:rPr>
  </w:style>
  <w:style w:customStyle="1" w:styleId="ControlFlowTok" w:type="character">
    <w:name w:val="ControlFlowTok"/>
    <w:basedOn w:val="VerbatimChar"/>
    <w:rPr>
      <w:b/>
      <w:color w:val="00537e"/>
    </w:rPr>
  </w:style>
  <w:style w:customStyle="1" w:styleId="OperatorTok" w:type="character">
    <w:name w:val="OperatorTok"/>
    <w:basedOn w:val="VerbatimChar"/>
    <w:rPr>
      <w:color w:val="222428"/>
    </w:rPr>
  </w:style>
  <w:style w:customStyle="1" w:styleId="BuiltInTok" w:type="character">
    <w:name w:val="BuiltInTok"/>
    <w:basedOn w:val="VerbatimChar"/>
    <w:rPr>
      <w:color w:val="222428"/>
    </w:rPr>
  </w:style>
  <w:style w:customStyle="1" w:styleId="ExtensionTok" w:type="character">
    <w:name w:val="ExtensionTok"/>
    <w:basedOn w:val="VerbatimChar"/>
    <w:rPr>
      <w:color w:val="222428"/>
    </w:rPr>
  </w:style>
  <w:style w:customStyle="1" w:styleId="PreprocessorTok" w:type="character">
    <w:name w:val="PreprocessorTok"/>
    <w:basedOn w:val="VerbatimChar"/>
    <w:rPr>
      <w:color w:val="a2451c"/>
    </w:rPr>
  </w:style>
  <w:style w:customStyle="1" w:styleId="AttributeTok" w:type="character">
    <w:name w:val="AttributeTok"/>
    <w:basedOn w:val="VerbatimChar"/>
    <w:rPr>
      <w:color w:val="00679e"/>
    </w:rPr>
  </w:style>
  <w:style w:customStyle="1" w:styleId="RegionMarkerTok" w:type="character">
    <w:name w:val="RegionMarkerTok"/>
    <w:basedOn w:val="VerbatimChar"/>
    <w:rPr>
      <w:color w:val="222428"/>
    </w:rPr>
  </w:style>
  <w:style w:customStyle="1" w:styleId="InformationTok" w:type="character">
    <w:name w:val="InformationTok"/>
    <w:basedOn w:val="VerbatimChar"/>
    <w:rPr>
      <w:i/>
      <w:color w:val="6b6e74"/>
    </w:rPr>
  </w:style>
  <w:style w:customStyle="1" w:styleId="WarningTok" w:type="character">
    <w:name w:val="WarningTok"/>
    <w:basedOn w:val="VerbatimChar"/>
    <w:rPr>
      <w:b/>
      <w:color w:val="876c0d"/>
    </w:rPr>
  </w:style>
  <w:style w:customStyle="1" w:styleId="AlertTok" w:type="character">
    <w:name w:val="AlertTok"/>
    <w:basedOn w:val="VerbatimChar"/>
    <w:rPr>
      <w:b/>
      <w:color w:val="cf372d"/>
    </w:rPr>
  </w:style>
  <w:style w:customStyle="1" w:styleId="ErrorTok" w:type="character">
    <w:name w:val="ErrorTok"/>
    <w:basedOn w:val="VerbatimChar"/>
    <w:rPr>
      <w:b/>
      <w:color w:val="cf372d"/>
    </w:rPr>
  </w:style>
  <w:style w:customStyle="1" w:styleId="NormalTok" w:type="character">
    <w:name w:val="NormalTok"/>
    <w:basedOn w:val="VerbatimChar"/>
    <w:rPr>
      <w:color w:val="22242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48" Target="numbering.xml" /><Relationship Type="http://schemas.openxmlformats.org/officeDocument/2006/relationships/styles" Id="rId47" Target="styles.xml" /><Relationship Type="http://schemas.openxmlformats.org/officeDocument/2006/relationships/settings" Id="rId46" Target="settings.xml" /><Relationship Type="http://schemas.openxmlformats.org/officeDocument/2006/relationships/webSettings" Id="rId45" Target="webSettings.xml" /><Relationship Type="http://schemas.openxmlformats.org/officeDocument/2006/relationships/fontTable" Id="rId44" Target="fontTable.xml" /><Relationship Type="http://schemas.openxmlformats.org/officeDocument/2006/relationships/theme" Id="rId43" Target="theme/theme1.xml" /><Relationship Type="http://schemas.openxmlformats.org/officeDocument/2006/relationships/footnotes" Id="rId42" Target="footnotes.xml" /><Relationship Type="http://schemas.openxmlformats.org/officeDocument/2006/relationships/comments" Id="rId41" Target="comments.xml" /><Relationship Id="rId40" Target="footer1.xml" Type="http://schemas.openxmlformats.org/officeDocument/2006/relationships/footer" /><Relationship Type="http://schemas.openxmlformats.org/officeDocument/2006/relationships/image" Id="rId54" Target="media/rId54.png" /><Relationship Type="http://schemas.openxmlformats.org/officeDocument/2006/relationships/image" Id="rId65" Target="media/rId65.png" /><Relationship Type="http://schemas.openxmlformats.org/officeDocument/2006/relationships/hyperlink" Id="rId62" Target="../07-governanca/02-privacidade-rgpd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2" Target="../07-governanca/02-privacidade-rgpd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Plano de Testes — {{PROJETO}}</dc:title>
  <dc:creator/>
  <dc:language>pt-PT</dc:language>
  <cp:keywords/>
  <dcterms:created xsi:type="dcterms:W3CDTF">2026-08-24T15:59:25Z</dcterms:created>
  <dcterms:modified xsi:type="dcterms:W3CDTF">2026-08-24T15:59:25Z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