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Critérios de Conclusão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Acordado por:</w:t>
      </w:r>
      <w:r>
        <w:t xml:space="preserve"> </w:t>
      </w:r>
      <w:r>
        <w:t xml:space="preserve">{{equipa}} ·</w:t>
      </w:r>
      <w:r>
        <w:t xml:space="preserve"> </w:t>
      </w:r>
      <w:r>
        <w:rPr>
          <w:b/>
          <w:bCs/>
        </w:rPr>
        <w:t xml:space="preserve">Revisão:</w:t>
      </w:r>
      <w:r>
        <w:t xml:space="preserve"> </w:t>
      </w:r>
      <w:r>
        <w:t xml:space="preserve">{{trimestral}}</w:t>
      </w:r>
    </w:p>
    <w:p>
      <w:r>
        <w:pict>
          <v:rect style="width:0;height:1.5pt" o:hralign="center" o:hrstd="t" o:hr="t"/>
        </w:pict>
      </w:r>
    </w:p>
    <w:bookmarkStart w:id="49" w:name="para-que-serve"/>
    <w:p>
      <w:pPr>
        <w:pStyle w:val="Heading2"/>
      </w:pPr>
      <w:r>
        <w:t xml:space="preserve">1. Para que serve</w:t>
      </w:r>
    </w:p>
    <w:p>
      <w:pPr>
        <w:pStyle w:val="FirstParagraph"/>
      </w:pPr>
      <w:r>
        <w:t xml:space="preserve">“Pronto”</w:t>
      </w:r>
      <w:r>
        <w:t xml:space="preserve"> </w:t>
      </w:r>
      <w:r>
        <w:t xml:space="preserve">significa coisas diferentes para quem escreve o código, para quem o</w:t>
      </w:r>
      <w:r>
        <w:t xml:space="preserve"> </w:t>
      </w:r>
      <w:r>
        <w:t xml:space="preserve">testa e para quem o vai usar. Esta lista existe para que passe a significar uma</w:t>
      </w:r>
      <w:r>
        <w:t xml:space="preserve"> </w:t>
      </w:r>
      <w:r>
        <w:t xml:space="preserve">só coisa — e para que ninguém tenha de perguntar.</w:t>
      </w:r>
    </w:p>
    <w:p>
      <w:pPr>
        <w:pStyle w:val="BodyText"/>
      </w:pPr>
      <w:r>
        <w:rPr>
          <w:b/>
          <w:bCs/>
        </w:rPr>
        <w:t xml:space="preserve">Regra:</w:t>
      </w:r>
      <w:r>
        <w:t xml:space="preserve"> </w:t>
      </w:r>
      <w:r>
        <w:t xml:space="preserve">a lista é acordada pela equipa, não imposta. Uma DoD que ninguém</w:t>
      </w:r>
      <w:r>
        <w:t xml:space="preserve"> </w:t>
      </w:r>
      <w:r>
        <w:t xml:space="preserve">cumpre é pior do que não haver nenhuma: ensina que as listas são decorativas.</w:t>
      </w:r>
    </w:p>
    <w:p>
      <w:r>
        <w:pict>
          <v:rect style="width:0;height:1.5pt" o:hralign="center" o:hrstd="t" o:hr="t"/>
        </w:pict>
      </w:r>
    </w:p>
    <w:bookmarkEnd w:id="49"/>
    <w:bookmarkStart w:id="50" w:name="critérios-de-preparação-antes-de-começar"/>
    <w:p>
      <w:pPr>
        <w:pStyle w:val="Heading2"/>
      </w:pPr>
      <w:r>
        <w:t xml:space="preserve">2. Critérios de Preparação — antes de começar</w:t>
      </w:r>
    </w:p>
    <w:p>
      <w:pPr>
        <w:pStyle w:val="FirstParagraph"/>
      </w:pPr>
      <w:r>
        <w:t xml:space="preserve">Uma story só entra em trabalho se:</w:t>
      </w:r>
    </w:p>
    <w:p>
      <w:pPr>
        <w:pStyle w:val="Compact"/>
        <w:numPr>
          <w:ilvl w:val="0"/>
          <w:numId w:val="1001"/>
        </w:numPr>
      </w:pPr>
      <w:r>
        <w:t xml:space="preserve">O valor para quem a vai usar está escrito, e não é</w:t>
      </w:r>
      <w:r>
        <w:t xml:space="preserve"> </w:t>
      </w:r>
      <w:r>
        <w:t xml:space="preserve">“porque foi pedido”</w:t>
      </w:r>
    </w:p>
    <w:p>
      <w:pPr>
        <w:pStyle w:val="Compact"/>
        <w:numPr>
          <w:ilvl w:val="0"/>
          <w:numId w:val="1002"/>
        </w:numPr>
      </w:pPr>
      <w:r>
        <w:t xml:space="preserve">Os critérios de aceitação estão escritos e são verificáveis</w:t>
      </w:r>
    </w:p>
    <w:p>
      <w:pPr>
        <w:pStyle w:val="Compact"/>
        <w:numPr>
          <w:ilvl w:val="0"/>
          <w:numId w:val="1003"/>
        </w:numPr>
      </w:pPr>
      <w:r>
        <w:t xml:space="preserve">As dependências estão identificadas e desbloqueadas</w:t>
      </w:r>
    </w:p>
    <w:p>
      <w:pPr>
        <w:pStyle w:val="Compact"/>
        <w:numPr>
          <w:ilvl w:val="0"/>
          <w:numId w:val="1004"/>
        </w:numPr>
      </w:pPr>
      <w:r>
        <w:t xml:space="preserve">O desenho de interface existe, se houver interface</w:t>
      </w:r>
    </w:p>
    <w:p>
      <w:pPr>
        <w:pStyle w:val="Compact"/>
        <w:numPr>
          <w:ilvl w:val="0"/>
          <w:numId w:val="1005"/>
        </w:numPr>
      </w:pPr>
      <w:r>
        <w:t xml:space="preserve">Foi estimada pela equipa que a vai fazer</w:t>
      </w:r>
    </w:p>
    <w:p>
      <w:pPr>
        <w:pStyle w:val="Compact"/>
        <w:numPr>
          <w:ilvl w:val="0"/>
          <w:numId w:val="1006"/>
        </w:numPr>
      </w:pPr>
      <w:r>
        <w:t xml:space="preserve">Cabe num {{incremento}} — se não cabe, divide-se primeiro</w:t>
      </w:r>
    </w:p>
    <w:p>
      <w:r>
        <w:pict>
          <v:rect style="width:0;height:1.5pt" o:hralign="center" o:hrstd="t" o:hr="t"/>
        </w:pict>
      </w:r>
    </w:p>
    <w:bookmarkEnd w:id="50"/>
    <w:bookmarkStart w:id="60" w:name="critérios-de-conclusão-por-story"/>
    <w:p>
      <w:pPr>
        <w:pStyle w:val="Heading2"/>
      </w:pPr>
      <w:r>
        <w:t xml:space="preserve">3. Critérios de Conclusão — por story</w:t>
      </w:r>
    </w:p>
    <w:bookmarkStart w:id="52" w:name="código"/>
    <w:p>
      <w:pPr>
        <w:pStyle w:val="Heading3"/>
      </w:pPr>
      <w:r>
        <w:t xml:space="preserve">Código</w:t>
      </w:r>
    </w:p>
    <w:p>
      <w:pPr>
        <w:pStyle w:val="Compact"/>
        <w:numPr>
          <w:ilvl w:val="0"/>
          <w:numId w:val="1007"/>
        </w:numPr>
      </w:pPr>
      <w:r>
        <w:t xml:space="preserve">Cumpre todos os critérios de aceitação</w:t>
      </w:r>
    </w:p>
    <w:p>
      <w:pPr>
        <w:pStyle w:val="Compact"/>
        <w:numPr>
          <w:ilvl w:val="0"/>
          <w:numId w:val="1008"/>
        </w:numPr>
      </w:pPr>
      <w:r>
        <w:t xml:space="preserve">Segue os</w:t>
      </w:r>
      <w:r>
        <w:t xml:space="preserve"> </w:t>
      </w:r>
      <w:hyperlink r:id="rId51">
        <w:r>
          <w:rPr>
            <w:rStyle w:val="Hyperlink"/>
          </w:rPr>
          <w:t xml:space="preserve">Padrões de Código</w:t>
        </w:r>
      </w:hyperlink>
    </w:p>
    <w:p>
      <w:pPr>
        <w:pStyle w:val="Compact"/>
        <w:numPr>
          <w:ilvl w:val="0"/>
          <w:numId w:val="1009"/>
        </w:numPr>
      </w:pPr>
      <w:r>
        <w:t xml:space="preserve">Revisto por {{1}} pessoa que não a escreveu</w:t>
      </w:r>
    </w:p>
    <w:p>
      <w:pPr>
        <w:pStyle w:val="Compact"/>
        <w:numPr>
          <w:ilvl w:val="0"/>
          <w:numId w:val="1010"/>
        </w:numPr>
      </w:pPr>
      <w:r>
        <w:t xml:space="preserve">Sem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 código comentado ou de depuração</w:t>
      </w:r>
    </w:p>
    <w:p>
      <w:pPr>
        <w:pStyle w:val="Compact"/>
        <w:numPr>
          <w:ilvl w:val="0"/>
          <w:numId w:val="1011"/>
        </w:numPr>
      </w:pPr>
      <w:r>
        <w:t xml:space="preserve">Sem segredos no código nem no histórico</w:t>
      </w:r>
    </w:p>
    <w:bookmarkEnd w:id="52"/>
    <w:bookmarkStart w:id="53" w:name="testes"/>
    <w:p>
      <w:pPr>
        <w:pStyle w:val="Heading3"/>
      </w:pPr>
      <w:r>
        <w:t xml:space="preserve">Testes</w:t>
      </w:r>
    </w:p>
    <w:p>
      <w:pPr>
        <w:pStyle w:val="Compact"/>
        <w:numPr>
          <w:ilvl w:val="0"/>
          <w:numId w:val="1012"/>
        </w:numPr>
      </w:pPr>
      <w:r>
        <w:t xml:space="preserve">Testes automáticos escritos e a passar</w:t>
      </w:r>
    </w:p>
    <w:p>
      <w:pPr>
        <w:pStyle w:val="Compact"/>
        <w:numPr>
          <w:ilvl w:val="0"/>
          <w:numId w:val="1013"/>
        </w:numPr>
      </w:pPr>
      <w:r>
        <w:t xml:space="preserve">Cobertura do código novo ≥ {{80%}}</w:t>
      </w:r>
    </w:p>
    <w:p>
      <w:pPr>
        <w:pStyle w:val="Compact"/>
        <w:numPr>
          <w:ilvl w:val="0"/>
          <w:numId w:val="1014"/>
        </w:numPr>
      </w:pPr>
      <w:r>
        <w:t xml:space="preserve">Caminho de erro testado, não só o caminho feliz</w:t>
      </w:r>
    </w:p>
    <w:p>
      <w:pPr>
        <w:pStyle w:val="Compact"/>
        <w:numPr>
          <w:ilvl w:val="0"/>
          <w:numId w:val="1015"/>
        </w:numPr>
      </w:pPr>
      <w:r>
        <w:t xml:space="preserve">Todos os testes existentes continuam a passar</w:t>
      </w:r>
    </w:p>
    <w:bookmarkEnd w:id="53"/>
    <w:bookmarkStart w:id="54" w:name="interface-se-aplicável"/>
    <w:p>
      <w:pPr>
        <w:pStyle w:val="Heading3"/>
      </w:pPr>
      <w:r>
        <w:t xml:space="preserve">Interface (se aplicável)</w:t>
      </w:r>
    </w:p>
    <w:p>
      <w:pPr>
        <w:pStyle w:val="Compact"/>
        <w:numPr>
          <w:ilvl w:val="0"/>
          <w:numId w:val="1016"/>
        </w:numPr>
      </w:pPr>
      <w:r>
        <w:t xml:space="preserve">Os cinco estados: vazio, a carregar, erro, sem permissão, parcial</w:t>
      </w:r>
    </w:p>
    <w:p>
      <w:pPr>
        <w:pStyle w:val="Compact"/>
        <w:numPr>
          <w:ilvl w:val="0"/>
          <w:numId w:val="1017"/>
        </w:numPr>
      </w:pPr>
      <w:r>
        <w:t xml:space="preserve">Navegável só por teclado</w:t>
      </w:r>
    </w:p>
    <w:p>
      <w:pPr>
        <w:pStyle w:val="Compact"/>
        <w:numPr>
          <w:ilvl w:val="0"/>
          <w:numId w:val="1018"/>
        </w:numPr>
      </w:pPr>
      <w:r>
        <w:t xml:space="preserve">Contraste verificado</w:t>
      </w:r>
    </w:p>
    <w:p>
      <w:pPr>
        <w:pStyle w:val="Compact"/>
        <w:numPr>
          <w:ilvl w:val="0"/>
          <w:numId w:val="1019"/>
        </w:numPr>
      </w:pPr>
      <w:r>
        <w:t xml:space="preserve">Testado em {{ecrã pequeno}} e {{grande}}</w:t>
      </w:r>
    </w:p>
    <w:bookmarkEnd w:id="54"/>
    <w:bookmarkStart w:id="56" w:name="dados-e-segurança"/>
    <w:p>
      <w:pPr>
        <w:pStyle w:val="Heading3"/>
      </w:pPr>
      <w:r>
        <w:t xml:space="preserve">Dados e segurança</w:t>
      </w:r>
    </w:p>
    <w:p>
      <w:pPr>
        <w:pStyle w:val="Compact"/>
        <w:numPr>
          <w:ilvl w:val="0"/>
          <w:numId w:val="1020"/>
        </w:numPr>
      </w:pPr>
      <w:r>
        <w:t xml:space="preserve">Migrações reversíveis e ensaiadas</w:t>
      </w:r>
    </w:p>
    <w:p>
      <w:pPr>
        <w:pStyle w:val="Compact"/>
        <w:numPr>
          <w:ilvl w:val="0"/>
          <w:numId w:val="1021"/>
        </w:numPr>
      </w:pPr>
      <w:r>
        <w:t xml:space="preserve">Entrada validada no servidor, e não só no cliente</w:t>
      </w:r>
    </w:p>
    <w:p>
      <w:pPr>
        <w:pStyle w:val="Compact"/>
        <w:numPr>
          <w:ilvl w:val="0"/>
          <w:numId w:val="1022"/>
        </w:numPr>
      </w:pPr>
      <w:r>
        <w:t xml:space="preserve">Autorização verificada — não basta esconder o botão</w:t>
      </w:r>
    </w:p>
    <w:p>
      <w:pPr>
        <w:pStyle w:val="Compact"/>
        <w:numPr>
          <w:ilvl w:val="0"/>
          <w:numId w:val="1023"/>
        </w:numPr>
      </w:pPr>
      <w:r>
        <w:t xml:space="preserve">Dados pessoais tratados segundo o</w:t>
      </w:r>
      <w:r>
        <w:t xml:space="preserve"> </w:t>
      </w:r>
      <w:hyperlink r:id="rId55">
        <w:r>
          <w:rPr>
            <w:rStyle w:val="Hyperlink"/>
          </w:rPr>
          <w:t xml:space="preserve">registo RGPD</w:t>
        </w:r>
      </w:hyperlink>
    </w:p>
    <w:bookmarkEnd w:id="56"/>
    <w:bookmarkStart w:id="57" w:name="documentação"/>
    <w:p>
      <w:pPr>
        <w:pStyle w:val="Heading3"/>
      </w:pPr>
      <w:r>
        <w:t xml:space="preserve">Documentação</w:t>
      </w:r>
    </w:p>
    <w:p>
      <w:pPr>
        <w:pStyle w:val="Compact"/>
        <w:numPr>
          <w:ilvl w:val="0"/>
          <w:numId w:val="1024"/>
        </w:numPr>
      </w:pPr>
      <w:r>
        <w:t xml:space="preserve">Documentação afetada atualizada</w:t>
      </w:r>
      <w:r>
        <w:t xml:space="preserve"> </w:t>
      </w:r>
      <w:r>
        <w:rPr>
          <w:b/>
          <w:bCs/>
        </w:rPr>
        <w:t xml:space="preserve">no mesmo PR</w:t>
      </w:r>
    </w:p>
    <w:p>
      <w:pPr>
        <w:pStyle w:val="Compact"/>
        <w:numPr>
          <w:ilvl w:val="0"/>
          <w:numId w:val="1025"/>
        </w:numPr>
      </w:pPr>
      <w:r>
        <w:t xml:space="preserve">ADR escrito, se houve decisão estrutural</w:t>
      </w:r>
    </w:p>
    <w:p>
      <w:pPr>
        <w:pStyle w:val="Compact"/>
        <w:numPr>
          <w:ilvl w:val="0"/>
          <w:numId w:val="1026"/>
        </w:numPr>
      </w:pPr>
      <w:r>
        <w:t xml:space="preserve">Registo de Alterações atualizado</w:t>
      </w:r>
    </w:p>
    <w:bookmarkEnd w:id="57"/>
    <w:bookmarkStart w:id="58" w:name="operação"/>
    <w:p>
      <w:pPr>
        <w:pStyle w:val="Heading3"/>
      </w:pPr>
      <w:r>
        <w:t xml:space="preserve">Operação</w:t>
      </w:r>
    </w:p>
    <w:p>
      <w:pPr>
        <w:pStyle w:val="Compact"/>
        <w:numPr>
          <w:ilvl w:val="0"/>
          <w:numId w:val="1027"/>
        </w:numPr>
      </w:pPr>
      <w:r>
        <w:t xml:space="preserve">Regista o que é preciso para diagnosticar em produção</w:t>
      </w:r>
    </w:p>
    <w:p>
      <w:pPr>
        <w:pStyle w:val="Compact"/>
        <w:numPr>
          <w:ilvl w:val="0"/>
          <w:numId w:val="1028"/>
        </w:numPr>
      </w:pPr>
      <w:r>
        <w:t xml:space="preserve">Métricas e alertas, se a funcionalidade os justificar</w:t>
      </w:r>
    </w:p>
    <w:p>
      <w:pPr>
        <w:pStyle w:val="Compact"/>
        <w:numPr>
          <w:ilvl w:val="0"/>
          <w:numId w:val="1029"/>
        </w:numPr>
      </w:pPr>
      <w:r>
        <w:t xml:space="preserve">Comportamento definido quando a dependência externa falha</w:t>
      </w:r>
    </w:p>
    <w:bookmarkEnd w:id="58"/>
    <w:bookmarkStart w:id="59" w:name="aceitação"/>
    <w:p>
      <w:pPr>
        <w:pStyle w:val="Heading3"/>
      </w:pPr>
      <w:r>
        <w:t xml:space="preserve">Aceitação</w:t>
      </w:r>
    </w:p>
    <w:p>
      <w:pPr>
        <w:pStyle w:val="Compact"/>
        <w:numPr>
          <w:ilvl w:val="0"/>
          <w:numId w:val="1030"/>
        </w:numPr>
      </w:pPr>
      <w:r>
        <w:t xml:space="preserve">Demonstrado a {{PO}} e aceite</w:t>
      </w:r>
    </w:p>
    <w:p>
      <w:pPr>
        <w:pStyle w:val="Compact"/>
        <w:numPr>
          <w:ilvl w:val="0"/>
          <w:numId w:val="1031"/>
        </w:numPr>
      </w:pPr>
      <w:r>
        <w:t xml:space="preserve">A correr em {{ambiente de testes}}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ritérios-de-conclusão-por-incremento"/>
    <w:p>
      <w:pPr>
        <w:pStyle w:val="Heading2"/>
      </w:pPr>
      <w:r>
        <w:t xml:space="preserve">4. Critérios de Conclusão — por incremento</w:t>
      </w:r>
    </w:p>
    <w:p>
      <w:pPr>
        <w:pStyle w:val="FirstParagraph"/>
      </w:pPr>
      <w:r>
        <w:t xml:space="preserve">Além de todas as stories cumprirem a lista acima:</w:t>
      </w:r>
    </w:p>
    <w:p>
      <w:pPr>
        <w:pStyle w:val="Compact"/>
        <w:numPr>
          <w:ilvl w:val="0"/>
          <w:numId w:val="1032"/>
        </w:numPr>
      </w:pPr>
      <w:r>
        <w:t xml:space="preserve">Testes ponta a ponta do fluxo completo a passar</w:t>
      </w:r>
    </w:p>
    <w:p>
      <w:pPr>
        <w:pStyle w:val="Compact"/>
        <w:numPr>
          <w:ilvl w:val="0"/>
          <w:numId w:val="1033"/>
        </w:numPr>
      </w:pPr>
      <w:r>
        <w:t xml:space="preserve">Sem defeitos de gravidade {{1 ou 2}} em aberto</w:t>
      </w:r>
    </w:p>
    <w:p>
      <w:pPr>
        <w:pStyle w:val="Compact"/>
        <w:numPr>
          <w:ilvl w:val="0"/>
          <w:numId w:val="1034"/>
        </w:numPr>
      </w:pPr>
      <w:r>
        <w:t xml:space="preserve">Desempenho verificado ({{ver plano de carga}})</w:t>
      </w:r>
    </w:p>
    <w:p>
      <w:pPr>
        <w:pStyle w:val="Compact"/>
        <w:numPr>
          <w:ilvl w:val="0"/>
          <w:numId w:val="1035"/>
        </w:numPr>
      </w:pPr>
      <w:r>
        <w:t xml:space="preserve">Notas de versão escritas</w:t>
      </w:r>
    </w:p>
    <w:p>
      <w:pPr>
        <w:pStyle w:val="Compact"/>
        <w:numPr>
          <w:ilvl w:val="0"/>
          <w:numId w:val="1036"/>
        </w:numPr>
      </w:pPr>
      <w:r>
        <w:t xml:space="preserve">Procedimento de reversão testado</w:t>
      </w:r>
    </w:p>
    <w:p>
      <w:r>
        <w:pict>
          <v:rect style="width:0;height:1.5pt" o:hralign="center" o:hrstd="t" o:hr="t"/>
        </w:pict>
      </w:r>
    </w:p>
    <w:bookmarkEnd w:id="61"/>
    <w:bookmarkStart w:id="63" w:name="X5aab94c72fcfb45e6028ab7019b3f80bdc2c3c4"/>
    <w:p>
      <w:pPr>
        <w:pStyle w:val="Heading2"/>
      </w:pPr>
      <w:r>
        <w:t xml:space="preserve">5. Critérios de Conclusão — por entrada em serviço</w:t>
      </w:r>
    </w:p>
    <w:p>
      <w:pPr>
        <w:pStyle w:val="Compact"/>
        <w:numPr>
          <w:ilvl w:val="0"/>
          <w:numId w:val="1037"/>
        </w:numPr>
      </w:pPr>
      <w:hyperlink r:id="rId62">
        <w:r>
          <w:rPr>
            <w:rStyle w:val="Hyperlink"/>
          </w:rPr>
          <w:t xml:space="preserve">Manual de Operação</w:t>
        </w:r>
      </w:hyperlink>
      <w:r>
        <w:t xml:space="preserve"> </w:t>
      </w:r>
      <w:r>
        <w:t xml:space="preserve">escrito e testado por quem vai estar de piquete</w:t>
      </w:r>
    </w:p>
    <w:p>
      <w:pPr>
        <w:pStyle w:val="Compact"/>
        <w:numPr>
          <w:ilvl w:val="0"/>
          <w:numId w:val="1038"/>
        </w:numPr>
      </w:pPr>
      <w:r>
        <w:t xml:space="preserve">Monitorização e alertas ativos</w:t>
      </w:r>
    </w:p>
    <w:p>
      <w:pPr>
        <w:pStyle w:val="Compact"/>
        <w:numPr>
          <w:ilvl w:val="0"/>
          <w:numId w:val="1039"/>
        </w:numPr>
      </w:pPr>
      <w:r>
        <w:t xml:space="preserve">Cópias de segurança a correr e</w:t>
      </w:r>
      <w:r>
        <w:t xml:space="preserve"> </w:t>
      </w:r>
      <w:r>
        <w:rPr>
          <w:b/>
          <w:bCs/>
        </w:rPr>
        <w:t xml:space="preserve">restauro testado</w:t>
      </w:r>
    </w:p>
    <w:p>
      <w:pPr>
        <w:pStyle w:val="Compact"/>
        <w:numPr>
          <w:ilvl w:val="0"/>
          <w:numId w:val="1040"/>
        </w:numPr>
      </w:pPr>
      <w:r>
        <w:t xml:space="preserve">Utilizadores formados</w:t>
      </w:r>
    </w:p>
    <w:p>
      <w:pPr>
        <w:pStyle w:val="Compact"/>
        <w:numPr>
          <w:ilvl w:val="0"/>
          <w:numId w:val="1041"/>
        </w:numPr>
      </w:pPr>
      <w:r>
        <w:t xml:space="preserve">Suporte sabe o que fazer nas primeiras {{2 semanas}}</w:t>
      </w:r>
    </w:p>
    <w:p>
      <w:pPr>
        <w:pStyle w:val="Compact"/>
        <w:numPr>
          <w:ilvl w:val="0"/>
          <w:numId w:val="1042"/>
        </w:numPr>
      </w:pPr>
      <w:r>
        <w:t xml:space="preserve">Plano de reversão escrito e ensaiado</w:t>
      </w:r>
    </w:p>
    <w:p>
      <w:r>
        <w:pict>
          <v:rect style="width:0;height:1.5pt" o:hralign="center" o:hrstd="t" o:hr="t"/>
        </w:pict>
      </w:r>
    </w:p>
    <w:bookmarkEnd w:id="63"/>
    <w:bookmarkStart w:id="64" w:name="exceções"/>
    <w:p>
      <w:pPr>
        <w:pStyle w:val="Heading2"/>
      </w:pPr>
      <w:r>
        <w:t xml:space="preserve">6. Exceções</w:t>
      </w:r>
    </w:p>
    <w:p>
      <w:pPr>
        <w:pStyle w:val="FirstParagraph"/>
      </w:pPr>
      <w:r>
        <w:t xml:space="preserve">Uma story pode ser dada como concluída sem cumprir tudo</w:t>
      </w:r>
      <w:r>
        <w:t xml:space="preserve"> </w:t>
      </w:r>
      <w:r>
        <w:rPr>
          <w:b/>
          <w:bCs/>
        </w:rPr>
        <w:t xml:space="preserve">se</w:t>
      </w:r>
      <w:r>
        <w:t xml:space="preserve">, e só se, a</w:t>
      </w:r>
      <w:r>
        <w:t xml:space="preserve"> </w:t>
      </w:r>
      <w:r>
        <w:t xml:space="preserve">exceção for registada: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Item não cumprido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  <w:tc>
          <w:tcPr/>
          <w:p>
            <w:pPr>
              <w:pStyle w:val="Compact"/>
            </w:pPr>
            <w:r>
              <w:t xml:space="preserve">Dívida registada em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t xml:space="preserve">Se esta tabela cresce todas as semanas, o problema não são as exceções — é a</w:t>
      </w:r>
      <w:r>
        <w:t xml:space="preserve"> </w:t>
      </w:r>
      <w:r>
        <w:t xml:space="preserve">lista, que está desalinhada com a realidade. Reveja-se a lista.</w:t>
      </w:r>
    </w:p>
    <w:bookmarkEnd w:id="64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1" Target="../04-desenvolvimento/03-padroes-codigo.md" TargetMode="External" /><Relationship Type="http://schemas.openxmlformats.org/officeDocument/2006/relationships/hyperlink" Id="rId62" Target="../06-operacao/02-manual-de-operacao.md" TargetMode="External" /><Relationship Type="http://schemas.openxmlformats.org/officeDocument/2006/relationships/hyperlink" Id="rId55" Target="../07-governanca/02-privacidade-rgp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./04-desenvolvimento/03-padroes-codigo.md" TargetMode="External" /><Relationship Type="http://schemas.openxmlformats.org/officeDocument/2006/relationships/hyperlink" Id="rId62" Target="../06-operacao/02-manual-de-operacao.md" TargetMode="External" /><Relationship Type="http://schemas.openxmlformats.org/officeDocument/2006/relationships/hyperlink" Id="rId55" Target="../07-governanca/02-privacidade-rgp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Critérios de Conclusão — {{PROJETO}}</dc:title>
  <dc:creator/>
  <dc:language>pt-PT</dc:language>
  <cp:keywords/>
  <dcterms:created xsi:type="dcterms:W3CDTF">2026-08-24T15:59:26Z</dcterms:created>
  <dcterms:modified xsi:type="dcterms:W3CDTF">2026-08-24T15:59:26Z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