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Dados de Teste e Anonimização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A forma mais comum de violar o RGPD numa equipa de software não é um ataque: é uma</w:t>
      </w:r>
      <w:r>
        <w:t xml:space="preserve"> </w:t>
      </w:r>
      <w:r>
        <w:t xml:space="preserve">cópia da base de dados de produção para o portátil de alguém, para</w:t>
      </w:r>
      <w:r>
        <w:t xml:space="preserve"> </w:t>
      </w:r>
      <w:r>
        <w:t xml:space="preserve">“testar com</w:t>
      </w:r>
      <w:r>
        <w:t xml:space="preserve"> </w:t>
      </w:r>
      <w:r>
        <w:t xml:space="preserve">dados a sério”</w:t>
      </w:r>
      <w:r>
        <w:t xml:space="preserve">. Este documento existe para que essa cópia nunca seja necessária.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{{Tech lead}} · {{DPO}} para a 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 de geração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a-regra"/>
    <w:p>
      <w:pPr>
        <w:pStyle w:val="Heading2"/>
      </w:pPr>
      <w:r>
        <w:t xml:space="preserve">1. A regra</w:t>
      </w:r>
    </w:p>
    <w:p>
      <w:pPr>
        <w:pStyle w:val="FirstParagraph"/>
      </w:pPr>
      <w:r>
        <w:rPr>
          <w:b/>
          <w:bCs/>
        </w:rPr>
        <w:t xml:space="preserve">Dados pessoais de produção não saem de produção.</w:t>
      </w:r>
      <w:r>
        <w:t xml:space="preserve"> </w:t>
      </w:r>
      <w:r>
        <w:t xml:space="preserve">Nem para pré-produção, nem para</w:t>
      </w:r>
      <w:r>
        <w:t xml:space="preserve"> </w:t>
      </w:r>
      <w:r>
        <w:t xml:space="preserve">desenvolvimento, nem para a máquina de ninguém, nem para um anexo de um pedido de suporte.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Que dados 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Gerados (</w:t>
            </w:r>
            <w:r>
              <w:rPr>
                <w:rStyle w:val="VerbatimChar"/>
              </w:rPr>
              <w:t xml:space="preserve">make seed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automáticos</w:t>
            </w:r>
          </w:p>
        </w:tc>
        <w:tc>
          <w:tcPr/>
          <w:p>
            <w:pPr>
              <w:pStyle w:val="Compact"/>
            </w:pPr>
            <w:r>
              <w:t xml:space="preserve">Gerados, criados pelo próprio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Pré-produção</w:t>
            </w:r>
          </w:p>
        </w:tc>
        <w:tc>
          <w:tcPr/>
          <w:p>
            <w:pPr>
              <w:pStyle w:val="Compact"/>
            </w:pPr>
            <w:r>
              <w:t xml:space="preserve">{{Gerados em volume realista}} ou {{anonimizados}}, com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Formação</w:t>
            </w:r>
          </w:p>
        </w:tc>
        <w:tc>
          <w:tcPr/>
          <w:p>
            <w:pPr>
              <w:pStyle w:val="Compact"/>
            </w:pPr>
            <w:r>
              <w:t xml:space="preserve">Gerados, com nomes obviamente fictícios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Reais</w:t>
            </w:r>
          </w:p>
        </w:tc>
      </w:tr>
    </w:tbl>
    <w:p>
      <w:pPr>
        <w:pStyle w:val="BodyText"/>
      </w:pPr>
      <w:r>
        <w:rPr>
          <w:b/>
          <w:bCs/>
        </w:rPr>
        <w:t xml:space="preserve">A única exceção</w:t>
      </w:r>
      <w:r>
        <w:t xml:space="preserve"> </w:t>
      </w:r>
      <w:r>
        <w:t xml:space="preserve">é a investigação de um incidente que exija o registo concreto — e</w:t>
      </w:r>
      <w:r>
        <w:t xml:space="preserve"> </w:t>
      </w:r>
      <w:r>
        <w:t xml:space="preserve">faz-se</w:t>
      </w:r>
      <w:r>
        <w:t xml:space="preserve"> </w:t>
      </w:r>
      <w:r>
        <w:rPr>
          <w:b/>
          <w:bCs/>
        </w:rPr>
        <w:t xml:space="preserve">em produção</w:t>
      </w:r>
      <w:r>
        <w:t xml:space="preserve">, por quem tem acesso, com registo de auditoria. Nunca por cópia.</w:t>
      </w:r>
    </w:p>
    <w:p>
      <w:r>
        <w:pict>
          <v:rect style="width:0;height:1.5pt" o:hralign="center" o:hrstd="t" o:hr="t"/>
        </w:pict>
      </w:r>
    </w:p>
    <w:bookmarkEnd w:id="49"/>
    <w:bookmarkStart w:id="51" w:name="dados-gerados"/>
    <w:p>
      <w:pPr>
        <w:pStyle w:val="Heading2"/>
      </w:pPr>
      <w:r>
        <w:t xml:space="preserve">2. Dados gerados</w:t>
      </w:r>
    </w:p>
    <w:p>
      <w:pPr>
        <w:pStyle w:val="FirstParagraph"/>
      </w:pPr>
      <w:r>
        <w:t xml:space="preserve">O caminho preferível: dados sintéticos, criados por script, versionados com o código.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Reprodutíveis (semente fixa)</w:t>
            </w:r>
          </w:p>
        </w:tc>
        <w:tc>
          <w:tcPr/>
          <w:p>
            <w:pPr>
              <w:pStyle w:val="Compact"/>
            </w:pPr>
            <w:r>
              <w:t xml:space="preserve">Um teste que falha tem de falhar outra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Realistas na</w:t>
            </w:r>
            <w:r>
              <w:t xml:space="preserve"> </w:t>
            </w:r>
            <w:r>
              <w:rPr>
                <w:b/>
                <w:bCs/>
              </w:rP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{{NIF com dígito de controlo válido, códigos postais existentes, acentos, nomes compostos}}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Irrealistas no</w:t>
            </w:r>
            <w:r>
              <w:t xml:space="preserve"> </w:t>
            </w:r>
            <w:r>
              <w:rPr>
                <w:b/>
                <w:bCs/>
              </w:rPr>
              <w:t xml:space="preserve">conteúdo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@exemplo.test</w:t>
            </w:r>
            <w:r>
              <w:t xml:space="preserve">, nomes de personagens, moradas fictícias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Cobrem os casos difíceis</w:t>
            </w:r>
          </w:p>
        </w:tc>
        <w:tc>
          <w:tcPr/>
          <w:p>
            <w:pPr>
              <w:pStyle w:val="Compact"/>
            </w:pPr>
            <w:r>
              <w:t xml:space="preserve">Vazio, nulo, muito longo, caracteres especiais, datas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configurável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make seed</w:t>
            </w:r>
            <w:r>
              <w:t xml:space="preserve">}} para o dia a dia, {{</w:t>
            </w:r>
            <w:r>
              <w:rPr>
                <w:rStyle w:val="VerbatimChar"/>
              </w:rPr>
              <w:t xml:space="preserve">make seed-grande</w:t>
            </w:r>
            <w:r>
              <w:t xml:space="preserve">}} para desempenho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{{make</w:t>
      </w:r>
      <w:r>
        <w:rPr>
          <w:rStyle w:val="NormalTok"/>
        </w:rPr>
        <w:t xml:space="preserve"> seed}}          </w:t>
      </w:r>
      <w:r>
        <w:rPr>
          <w:rStyle w:val="CommentTok"/>
        </w:rPr>
        <w:t xml:space="preserve"># {{20 clientes, 100 produtos, 50 encomendas em vários estados}}</w:t>
      </w:r>
      <w:r>
        <w:br/>
      </w:r>
      <w:r>
        <w:rPr>
          <w:rStyle w:val="ExtensionTok"/>
        </w:rPr>
        <w:t xml:space="preserve">{{make</w:t>
      </w:r>
      <w:r>
        <w:rPr>
          <w:rStyle w:val="NormalTok"/>
        </w:rPr>
        <w:t xml:space="preserve"> seed-grande}}   </w:t>
      </w:r>
      <w:r>
        <w:rPr>
          <w:rStyle w:val="CommentTok"/>
        </w:rPr>
        <w:t xml:space="preserve"># {{100 k registos, para testes de carga}}</w:t>
      </w:r>
    </w:p>
    <w:p>
      <w:pPr>
        <w:pStyle w:val="FirstParagraph"/>
      </w:pPr>
      <w:r>
        <w:rPr>
          <w:b/>
          <w:bCs/>
        </w:rPr>
        <w:t xml:space="preserve">Contas de teste</w:t>
      </w:r>
      <w:r>
        <w:t xml:space="preserve"> </w:t>
      </w:r>
      <w:r>
        <w:t xml:space="preserve">ficam documentadas no</w:t>
      </w:r>
      <w:r>
        <w:t xml:space="preserve"> </w:t>
      </w:r>
      <w:hyperlink r:id="rId50">
        <w:r>
          <w:rPr>
            <w:rStyle w:val="Hyperlink"/>
          </w:rPr>
          <w:t xml:space="preserve">Ambiente de Desenvolvimento</w:t>
        </w:r>
      </w:hyperlink>
      <w:r>
        <w:t xml:space="preserve"> </w:t>
      </w:r>
      <w:r>
        <w:t xml:space="preserve">§7,</w:t>
      </w:r>
      <w:r>
        <w:t xml:space="preserve"> </w:t>
      </w:r>
      <w:r>
        <w:t xml:space="preserve">sempre com domínio</w:t>
      </w:r>
      <w:r>
        <w:t xml:space="preserve"> </w:t>
      </w:r>
      <w:r>
        <w:rPr>
          <w:rStyle w:val="VerbatimChar"/>
        </w:rPr>
        <w:t xml:space="preserve">{{.test}}</w:t>
      </w:r>
      <w:r>
        <w:t xml:space="preserve"> </w:t>
      </w:r>
      <w:r>
        <w:t xml:space="preserve">— que não é entregável e impede envio acidental de correio.</w:t>
      </w:r>
    </w:p>
    <w:p>
      <w:r>
        <w:pict>
          <v:rect style="width:0;height:1.5pt" o:hralign="center" o:hrstd="t" o:hr="t"/>
        </w:pict>
      </w:r>
    </w:p>
    <w:bookmarkEnd w:id="51"/>
    <w:bookmarkStart w:id="53" w:name="anonimização-quando-é-mesmo-necessária"/>
    <w:p>
      <w:pPr>
        <w:pStyle w:val="Heading2"/>
      </w:pPr>
      <w:r>
        <w:t xml:space="preserve">3. Anonimização, quando é mesmo necessária</w:t>
      </w:r>
    </w:p>
    <w:p>
      <w:pPr>
        <w:pStyle w:val="FirstParagraph"/>
      </w:pPr>
      <w:r>
        <w:t xml:space="preserve">Quando o volume e a distribuição reais são indispensáveis ({{migração, desempenho, relatórios}}),</w:t>
      </w:r>
      <w:r>
        <w:t xml:space="preserve"> </w:t>
      </w:r>
      <w:r>
        <w:t xml:space="preserve">usa-se uma cópia</w:t>
      </w:r>
      <w:r>
        <w:t xml:space="preserve"> </w:t>
      </w:r>
      <w:r>
        <w:rPr>
          <w:b/>
          <w:bCs/>
        </w:rPr>
        <w:t xml:space="preserve">transformada</w:t>
      </w:r>
      <w:r>
        <w:t xml:space="preserve">, nunca a original.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Substituição por lista fictícia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Maria Silva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Ana Costa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Geração determinística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u{{id}}@exemplo.test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Substituição por intervalo reservado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9xx xxx xxx</w:t>
            </w:r>
            <w:r>
              <w:t xml:space="preserve"> </w:t>
            </w:r>
            <w:r>
              <w:t xml:space="preserve">fictício}}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NIF / identificação</w:t>
            </w:r>
          </w:p>
        </w:tc>
        <w:tc>
          <w:tcPr/>
          <w:p>
            <w:pPr>
              <w:pStyle w:val="Compact"/>
            </w:pPr>
            <w:r>
              <w:t xml:space="preserve">Geração válida mas não atribuída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Morada</w:t>
            </w:r>
          </w:p>
        </w:tc>
        <w:tc>
          <w:tcPr/>
          <w:p>
            <w:pPr>
              <w:pStyle w:val="Compact"/>
            </w:pPr>
            <w:r>
              <w:t xml:space="preserve">Substituição, mantendo o distrito</w:t>
            </w:r>
          </w:p>
        </w:tc>
        <w:tc>
          <w:tcPr/>
          <w:p>
            <w:pPr>
              <w:pStyle w:val="Compact"/>
            </w:pPr>
            <w:r>
              <w:t xml:space="preserve">Preserva a distribuição geográfica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nascimento</w:t>
            </w:r>
          </w:p>
        </w:tc>
        <w:tc>
          <w:tcPr/>
          <w:p>
            <w:pPr>
              <w:pStyle w:val="Compact"/>
            </w:pPr>
            <w:r>
              <w:t xml:space="preserve">Generalização</w:t>
            </w:r>
          </w:p>
        </w:tc>
        <w:tc>
          <w:tcPr/>
          <w:p>
            <w:pPr>
              <w:pStyle w:val="Compact"/>
            </w:pPr>
            <w:r>
              <w:t xml:space="preserve">{{Só o ano, ou escalão etário}}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monetários</w:t>
            </w:r>
          </w:p>
        </w:tc>
        <w:tc>
          <w:tcPr/>
          <w:p>
            <w:pPr>
              <w:pStyle w:val="Compact"/>
            </w:pPr>
            <w:r>
              <w:t xml:space="preserve">{{Ruído de ±{{5 %}}}}</w:t>
            </w:r>
          </w:p>
        </w:tc>
        <w:tc>
          <w:tcPr/>
          <w:p>
            <w:pPr>
              <w:pStyle w:val="Compact"/>
            </w:pPr>
            <w:r>
              <w:t xml:space="preserve">Preserva a ordem de grandeza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livre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Eliminação</w:t>
            </w:r>
          </w:p>
        </w:tc>
        <w:tc>
          <w:tcPr/>
          <w:p>
            <w:pPr>
              <w:pStyle w:val="Compact"/>
            </w:pPr>
            <w:r>
              <w:t xml:space="preserve">É onde aparece o que ninguém esperava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Anexos e imagens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Eliminação</w:t>
            </w:r>
          </w:p>
        </w:tc>
        <w:tc>
          <w:tcPr/>
          <w:p>
            <w:pPr>
              <w:pStyle w:val="Compact"/>
            </w:pPr>
            <w:r>
              <w:t xml:space="preserve">Impossível anonimizar de forma fiável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da transformação</w:t>
      </w:r>
    </w:p>
    <w:p>
      <w:pPr>
        <w:pStyle w:val="Compact"/>
        <w:numPr>
          <w:ilvl w:val="0"/>
          <w:numId w:val="1001"/>
        </w:numPr>
      </w:pPr>
      <w:r>
        <w:t xml:space="preserve">Corre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do perímetro de produção; o que sai já vai transformado.</w:t>
      </w:r>
    </w:p>
    <w:p>
      <w:pPr>
        <w:pStyle w:val="Compact"/>
        <w:numPr>
          <w:ilvl w:val="0"/>
          <w:numId w:val="1001"/>
        </w:numPr>
      </w:pPr>
      <w:r>
        <w:t xml:space="preserve">É</w:t>
      </w:r>
      <w:r>
        <w:t xml:space="preserve"> </w:t>
      </w:r>
      <w:r>
        <w:rPr>
          <w:b/>
          <w:bCs/>
        </w:rPr>
        <w:t xml:space="preserve">irreversível</w:t>
      </w:r>
      <w:r>
        <w:t xml:space="preserve"> </w:t>
      </w:r>
      <w:r>
        <w:t xml:space="preserve">— sem tabela de correspondência guardada em lado nenhum.</w:t>
      </w:r>
    </w:p>
    <w:p>
      <w:pPr>
        <w:pStyle w:val="Compact"/>
        <w:numPr>
          <w:ilvl w:val="0"/>
          <w:numId w:val="1001"/>
        </w:numPr>
      </w:pPr>
      <w:r>
        <w:t xml:space="preserve">Preserva a integridade referencial: o mesmo cliente é o mesmo em todas as tabelas.</w:t>
      </w:r>
    </w:p>
    <w:p>
      <w:pPr>
        <w:pStyle w:val="Compact"/>
        <w:numPr>
          <w:ilvl w:val="0"/>
          <w:numId w:val="1001"/>
        </w:numPr>
      </w:pPr>
      <w:r>
        <w:t xml:space="preserve">É</w:t>
      </w:r>
      <w:r>
        <w:t xml:space="preserve"> </w:t>
      </w:r>
      <w:r>
        <w:rPr>
          <w:b/>
          <w:bCs/>
        </w:rPr>
        <w:t xml:space="preserve">determinística</w:t>
      </w:r>
      <w:r>
        <w:t xml:space="preserve"> </w:t>
      </w:r>
      <w:r>
        <w:t xml:space="preserve">por registo, para os testes serem reprodutíveis.</w:t>
      </w:r>
    </w:p>
    <w:p>
      <w:pPr>
        <w:pStyle w:val="Compact"/>
        <w:numPr>
          <w:ilvl w:val="0"/>
          <w:numId w:val="1001"/>
        </w:numPr>
      </w:pPr>
      <w:r>
        <w:t xml:space="preserve">Está em código, versionada e revista em PR — não é um script na pasta de alguém.</w:t>
      </w:r>
    </w:p>
    <w:p>
      <w:pPr>
        <w:pStyle w:val="BlockText"/>
      </w:pPr>
      <w:r>
        <w:t xml:space="preserve">Pseudonimizar</w:t>
      </w:r>
      <w:r>
        <w:t xml:space="preserve"> </w:t>
      </w:r>
      <w:r>
        <w:rPr>
          <w:b/>
          <w:bCs/>
        </w:rPr>
        <w:t xml:space="preserve">não é</w:t>
      </w:r>
      <w:r>
        <w:t xml:space="preserve"> </w:t>
      </w:r>
      <w:r>
        <w:t xml:space="preserve">anonimizar: se existir forma de reverter, continuam a ser</w:t>
      </w:r>
      <w:r>
        <w:t xml:space="preserve"> </w:t>
      </w:r>
      <w:r>
        <w:t xml:space="preserve">dados pessoais e continuam sujeitos ao RGPD. Ver</w:t>
      </w:r>
      <w:r>
        <w:t xml:space="preserve"> </w:t>
      </w:r>
      <w:hyperlink r:id="rId52">
        <w:r>
          <w:rPr>
            <w:rStyle w:val="Hyperlink"/>
          </w:rPr>
          <w:t xml:space="preserve">Privacidade</w:t>
        </w:r>
      </w:hyperlink>
      <w:r>
        <w:t xml:space="preserve"> </w:t>
      </w:r>
      <w:r>
        <w:t xml:space="preserve">§2.</w:t>
      </w:r>
    </w:p>
    <w:p>
      <w:r>
        <w:pict>
          <v:rect style="width:0;height:1.5pt" o:hralign="center" o:hrstd="t" o:hr="t"/>
        </w:pict>
      </w:r>
    </w:p>
    <w:bookmarkEnd w:id="53"/>
    <w:bookmarkStart w:id="54" w:name="o-que-sobra-sempre"/>
    <w:p>
      <w:pPr>
        <w:pStyle w:val="Heading2"/>
      </w:pPr>
      <w:r>
        <w:t xml:space="preserve">4. O que sobra sempre</w:t>
      </w:r>
    </w:p>
    <w:p>
      <w:pPr>
        <w:pStyle w:val="FirstParagraph"/>
      </w:pPr>
      <w:r>
        <w:t xml:space="preserve">A anonimização falha quase sempre nos mesmos sítios. Verificar um a um:</w:t>
      </w:r>
    </w:p>
    <w:p>
      <w:pPr>
        <w:pStyle w:val="Compact"/>
        <w:numPr>
          <w:ilvl w:val="0"/>
          <w:numId w:val="1002"/>
        </w:numPr>
      </w:pPr>
      <w:r>
        <w:t xml:space="preserve">Campos de observações e notas livres</w:t>
      </w:r>
    </w:p>
    <w:p>
      <w:pPr>
        <w:pStyle w:val="Compact"/>
        <w:numPr>
          <w:ilvl w:val="0"/>
          <w:numId w:val="1003"/>
        </w:numPr>
      </w:pPr>
      <w:r>
        <w:t xml:space="preserve">Anexos, fotografias, PDF gerados</w:t>
      </w:r>
    </w:p>
    <w:p>
      <w:pPr>
        <w:pStyle w:val="Compact"/>
        <w:numPr>
          <w:ilvl w:val="0"/>
          <w:numId w:val="1004"/>
        </w:numPr>
      </w:pPr>
      <w:r>
        <w:t xml:space="preserve">Registos de auditoria e histórico de alterações</w:t>
      </w:r>
    </w:p>
    <w:p>
      <w:pPr>
        <w:pStyle w:val="Compact"/>
        <w:numPr>
          <w:ilvl w:val="0"/>
          <w:numId w:val="1005"/>
        </w:numPr>
      </w:pPr>
      <w:r>
        <w:t xml:space="preserve">Registos da aplicação (que muitas vezes gravam o corpo dos pedidos)</w:t>
      </w:r>
    </w:p>
    <w:p>
      <w:pPr>
        <w:pStyle w:val="Compact"/>
        <w:numPr>
          <w:ilvl w:val="0"/>
          <w:numId w:val="1006"/>
        </w:numPr>
      </w:pPr>
      <w:r>
        <w:t xml:space="preserve">Filas de mensagens e tabelas de eventos</w:t>
      </w:r>
    </w:p>
    <w:p>
      <w:pPr>
        <w:pStyle w:val="Compact"/>
        <w:numPr>
          <w:ilvl w:val="0"/>
          <w:numId w:val="1007"/>
        </w:numPr>
      </w:pPr>
      <w:r>
        <w:t xml:space="preserve">Cópias de segurança antigas do ambiente de destino</w:t>
      </w:r>
    </w:p>
    <w:p>
      <w:pPr>
        <w:pStyle w:val="Compact"/>
        <w:numPr>
          <w:ilvl w:val="0"/>
          <w:numId w:val="1008"/>
        </w:numPr>
      </w:pPr>
      <w:r>
        <w:t xml:space="preserve">Caches e índices de pesquisa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Combinações que reidentificam</w:t>
      </w:r>
      <w:r>
        <w:t xml:space="preserve">: {{código postal + data de nascimento + profissão}} chega para identificar uma pessoa numa vila</w:t>
      </w:r>
    </w:p>
    <w:p>
      <w:r>
        <w:pict>
          <v:rect style="width:0;height:1.5pt" o:hralign="center" o:hrstd="t" o:hr="t"/>
        </w:pict>
      </w:r>
    </w:p>
    <w:bookmarkEnd w:id="54"/>
    <w:bookmarkStart w:id="55" w:name="X7257621e89f35eee99b2a33b04a2a4b4ae30eaa"/>
    <w:p>
      <w:pPr>
        <w:pStyle w:val="Heading2"/>
      </w:pPr>
      <w:r>
        <w:t xml:space="preserve">5. Correio e integrações nos ambientes de teste</w:t>
      </w:r>
    </w:p>
    <w:p>
      <w:pPr>
        <w:pStyle w:val="FirstParagraph"/>
      </w:pPr>
      <w:r>
        <w:t xml:space="preserve">O acidente clássico: um teste com dados anonimizados que envia mesmo o email — para</w:t>
      </w:r>
      <w:r>
        <w:t xml:space="preserve"> </w:t>
      </w:r>
      <w:r>
        <w:t xml:space="preserve">um endereço que ficou por transformar.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Correio</w:t>
            </w:r>
          </w:p>
        </w:tc>
        <w:tc>
          <w:tcPr/>
          <w:p>
            <w:pPr>
              <w:pStyle w:val="Compact"/>
            </w:pPr>
            <w:r>
              <w:t xml:space="preserve">{{Servidor de captura local}}; envio real</w:t>
            </w:r>
            <w:r>
              <w:t xml:space="preserve"> </w:t>
            </w:r>
            <w:r>
              <w:rPr>
                <w:b/>
                <w:bCs/>
              </w:rPr>
              <w:t xml:space="preserve">desligado</w:t>
            </w:r>
            <w:r>
              <w:t xml:space="preserve"> </w:t>
            </w:r>
            <w:r>
              <w:t xml:space="preserve">por configuração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e notificações</w:t>
            </w:r>
          </w:p>
        </w:tc>
        <w:tc>
          <w:tcPr/>
          <w:p>
            <w:pPr>
              <w:pStyle w:val="Compact"/>
            </w:pPr>
            <w:r>
              <w:t xml:space="preserve">Desligados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Pagamentos</w:t>
            </w:r>
          </w:p>
        </w:tc>
        <w:tc>
          <w:tcPr/>
          <w:p>
            <w:pPr>
              <w:pStyle w:val="Compact"/>
            </w:pPr>
            <w:r>
              <w:t xml:space="preserve">Modo de teste, chaves distintas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Integrações externas</w:t>
            </w:r>
          </w:p>
        </w:tc>
        <w:tc>
          <w:tcPr/>
          <w:p>
            <w:pPr>
              <w:pStyle w:val="Compact"/>
            </w:pPr>
            <w:r>
              <w:t xml:space="preserve">Duplos ou ambiente de testes do parceiro — nunca 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{{Teste automático que falha se a configuração de produção estiver ativa fora de produção}}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iclo-de-vida"/>
    <w:p>
      <w:pPr>
        <w:pStyle w:val="Heading2"/>
      </w:pPr>
      <w:r>
        <w:t xml:space="preserve">6. Ciclo de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conjuntos anonimizados</w:t>
            </w:r>
          </w:p>
        </w:tc>
        <w:tc>
          <w:tcPr/>
          <w:p>
            <w:pPr>
              <w:pStyle w:val="Compact"/>
            </w:pPr>
            <w:r>
              <w:t xml:space="preserve">{{90 dias}}, depois regenerar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pode gerar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cada geração</w:t>
            </w:r>
          </w:p>
        </w:tc>
        <w:tc>
          <w:tcPr/>
          <w:p>
            <w:pPr>
              <w:pStyle w:val="Compact"/>
            </w:pPr>
            <w:r>
              <w:t xml:space="preserve">Data, quem, volume,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Aprovação do DPO</w:t>
            </w:r>
          </w:p>
        </w:tc>
        <w:tc>
          <w:tcPr/>
          <w:p>
            <w:pPr>
              <w:pStyle w:val="Compact"/>
            </w:pPr>
            <w:r>
              <w:t xml:space="preserve">Obrigatória {{na primeira vez e a cada alteração da transformação}}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Eliminação</w:t>
            </w:r>
          </w:p>
        </w:tc>
        <w:tc>
          <w:tcPr/>
          <w:p>
            <w:pPr>
              <w:pStyle w:val="Compact"/>
            </w:pPr>
            <w:r>
              <w:t xml:space="preserve">Automática ao fim do prazo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c72c4cfd6bec5262ad043ec8ef790ade9f9ad4f"/>
    <w:p>
      <w:pPr>
        <w:pStyle w:val="Heading2"/>
      </w:pPr>
      <w:r>
        <w:t xml:space="preserve">7. Lista de verificação antes de usar um conjunto novo</w:t>
      </w:r>
    </w:p>
    <w:p>
      <w:pPr>
        <w:pStyle w:val="Compact"/>
        <w:numPr>
          <w:ilvl w:val="0"/>
          <w:numId w:val="1010"/>
        </w:numPr>
      </w:pPr>
      <w:r>
        <w:t xml:space="preserve">Transformação corrida dentro de produção</w:t>
      </w:r>
    </w:p>
    <w:p>
      <w:pPr>
        <w:pStyle w:val="Compact"/>
        <w:numPr>
          <w:ilvl w:val="0"/>
          <w:numId w:val="1011"/>
        </w:numPr>
      </w:pPr>
      <w:r>
        <w:t xml:space="preserve">Amostra de {{50}} registos verificada à mão por {{duas}} pessoas</w:t>
      </w:r>
    </w:p>
    <w:p>
      <w:pPr>
        <w:pStyle w:val="Compact"/>
        <w:numPr>
          <w:ilvl w:val="0"/>
          <w:numId w:val="1012"/>
        </w:numPr>
      </w:pPr>
      <w:r>
        <w:t xml:space="preserve">Campos de texto livre e anexos eliminados</w:t>
      </w:r>
    </w:p>
    <w:p>
      <w:pPr>
        <w:pStyle w:val="Compact"/>
        <w:numPr>
          <w:ilvl w:val="0"/>
          <w:numId w:val="1013"/>
        </w:numPr>
      </w:pPr>
      <w:r>
        <w:t xml:space="preserve">Envio de correio e integrações desligados no destino</w:t>
      </w:r>
    </w:p>
    <w:p>
      <w:pPr>
        <w:pStyle w:val="Compact"/>
        <w:numPr>
          <w:ilvl w:val="0"/>
          <w:numId w:val="1014"/>
        </w:numPr>
      </w:pPr>
      <w:r>
        <w:t xml:space="preserve">Integridade referencial confirmada</w:t>
      </w:r>
    </w:p>
    <w:p>
      <w:pPr>
        <w:pStyle w:val="Compact"/>
        <w:numPr>
          <w:ilvl w:val="0"/>
          <w:numId w:val="1015"/>
        </w:numPr>
      </w:pPr>
      <w:r>
        <w:t xml:space="preserve">Registo da geração preenchido e DPO informado</w:t>
      </w:r>
    </w:p>
    <w:p>
      <w:r>
        <w:pict>
          <v:rect style="width:0;height:1.5pt" o:hralign="center" o:hrstd="t" o:hr="t"/>
        </w:pict>
      </w:r>
    </w:p>
    <w:bookmarkEnd w:id="57"/>
    <w:bookmarkStart w:id="62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enquadramento legal</w:t>
            </w:r>
          </w:p>
        </w:tc>
      </w:tr>
      <w:tr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Ambiente de 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estão as contas de teste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Plano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consome estes dados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Plano de Migração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ensaio que precisa de volume real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paridade entre ambientes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Testes de Desempenho e Carga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Quem precisa de volume</w:t>
            </w:r>
          </w:p>
        </w:tc>
      </w:tr>
    </w:tbl>
    <w:bookmarkEnd w:id="62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9" Target="../03-arquitetura/09-plano-migracao-dados.md" TargetMode="External" /><Relationship Type="http://schemas.openxmlformats.org/officeDocument/2006/relationships/hyperlink" Id="rId50" Target="../04-desenvolvimento/01-preparacao-do-ambiente.md" TargetMode="External" /><Relationship Type="http://schemas.openxmlformats.org/officeDocument/2006/relationships/hyperlink" Id="rId60" Target="../06-operacao/08-gestao-ambientes-configuracao.md" TargetMode="External" /><Relationship Type="http://schemas.openxmlformats.org/officeDocument/2006/relationships/hyperlink" Id="rId52" Target="../07-governanca/02-privacidade-rgpd.md" TargetMode="External" /><Relationship Type="http://schemas.openxmlformats.org/officeDocument/2006/relationships/hyperlink" Id="rId58" Target="01-plano-testes.md" TargetMode="External" /><Relationship Type="http://schemas.openxmlformats.org/officeDocument/2006/relationships/hyperlink" Id="rId61" Target="05-testes-desempenho-carg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./03-arquitetura/09-plano-migracao-dados.md" TargetMode="External" /><Relationship Type="http://schemas.openxmlformats.org/officeDocument/2006/relationships/hyperlink" Id="rId50" Target="../04-desenvolvimento/01-preparacao-do-ambiente.md" TargetMode="External" /><Relationship Type="http://schemas.openxmlformats.org/officeDocument/2006/relationships/hyperlink" Id="rId60" Target="../06-operacao/08-gestao-ambientes-configuracao.md" TargetMode="External" /><Relationship Type="http://schemas.openxmlformats.org/officeDocument/2006/relationships/hyperlink" Id="rId52" Target="../07-governanca/02-privacidade-rgpd.md" TargetMode="External" /><Relationship Type="http://schemas.openxmlformats.org/officeDocument/2006/relationships/hyperlink" Id="rId58" Target="01-plano-testes.md" TargetMode="External" /><Relationship Type="http://schemas.openxmlformats.org/officeDocument/2006/relationships/hyperlink" Id="rId61" Target="05-testes-desempenho-carg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Dados de Teste e Anonimização — {{PROJETO}}</dc:title>
  <dc:creator/>
  <dc:language>pt-PT</dc:language>
  <cp:keywords/>
  <dcterms:created xsi:type="dcterms:W3CDTF">2026-08-24T15:59:26Z</dcterms:created>
  <dcterms:modified xsi:type="dcterms:W3CDTF">2026-08-24T15:59:26Z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