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de Implantação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49" w:name="ambientes"/>
    <w:p>
      <w:pPr>
        <w:pStyle w:val="Heading2"/>
      </w:pPr>
      <w:r>
        <w:t xml:space="preserve">1. Ambientes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Aprovação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{{localhost}}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Sintéticos</w:t>
            </w:r>
          </w:p>
        </w:tc>
        <w:tc>
          <w:tcPr/>
          <w:p>
            <w:pPr>
              <w:pStyle w:val="Compact"/>
            </w:pPr>
            <w:r>
              <w:t xml:space="preserve">Programadores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efémero</w:t>
            </w:r>
          </w:p>
        </w:tc>
        <w:tc>
          <w:tcPr/>
          <w:p>
            <w:pPr>
              <w:pStyle w:val="Compact"/>
            </w:pPr>
            <w:r>
              <w:t xml:space="preserve">Automático por PR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Gerados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Automático 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Anonimizados</w:t>
            </w:r>
          </w:p>
        </w:tc>
        <w:tc>
          <w:tcPr/>
          <w:p>
            <w:pPr>
              <w:pStyle w:val="Compact"/>
            </w:pPr>
            <w:r>
              <w:t xml:space="preserve">Equipa +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Manual a partir de tag</w:t>
            </w:r>
          </w:p>
        </w:tc>
        <w:tc>
          <w:tcPr/>
          <w:p>
            <w:pPr>
              <w:pStyle w:val="Compact"/>
            </w:pPr>
            <w:r>
              <w:t xml:space="preserve">{{1 aprovação}}</w:t>
            </w:r>
          </w:p>
        </w:tc>
        <w:tc>
          <w:tcPr/>
          <w:p>
            <w:pPr>
              <w:pStyle w:val="Compact"/>
            </w:pPr>
            <w:r>
              <w:t xml:space="preserve">Reais</w:t>
            </w:r>
          </w:p>
        </w:tc>
        <w:tc>
          <w:tcPr/>
          <w:p>
            <w:pPr>
              <w:pStyle w:val="Compact"/>
            </w:pPr>
            <w:r>
              <w:t xml:space="preserve">{{SRE + piquete}}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pipeline"/>
    <w:p>
      <w:pPr>
        <w:pStyle w:val="Heading2"/>
      </w:pPr>
      <w:r>
        <w:t xml:space="preserve">2. Pipeline</w:t>
      </w:r>
    </w:p>
    <w:p>
      <w:pPr>
        <w:pStyle w:val="FirstParagraph"/>
      </w:pPr>
      <w:r>
        <w:drawing>
          <wp:inline>
            <wp:extent cx="2588399" cy="792189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399" cy="792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Duração alvo:</w:t>
      </w:r>
      <w:r>
        <w:t xml:space="preserve"> </w:t>
      </w:r>
      <w:r>
        <w:t xml:space="preserve">{{PR → staging em ≤ 15 min}}</w:t>
      </w:r>
    </w:p>
    <w:p>
      <w:r>
        <w:pict>
          <v:rect style="width:0;height:1.5pt" o:hralign="center" o:hrstd="t" o:hr="t"/>
        </w:pict>
      </w:r>
    </w:p>
    <w:bookmarkEnd w:id="53"/>
    <w:bookmarkStart w:id="54" w:name="estratégia-de-implantação"/>
    <w:p>
      <w:pPr>
        <w:pStyle w:val="Heading2"/>
      </w:pPr>
      <w:r>
        <w:t xml:space="preserve">3. Estratégia de implantação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{{Canary: 5% → 25% → 100%}}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indisponibilidade</w:t>
            </w:r>
          </w:p>
        </w:tc>
        <w:tc>
          <w:tcPr/>
          <w:p>
            <w:pPr>
              <w:pStyle w:val="Compact"/>
            </w:pPr>
            <w:r>
              <w:t xml:space="preserve">Sim — {{rolling update com readiness probes}}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de cada fase</w:t>
            </w:r>
          </w:p>
        </w:tc>
        <w:tc>
          <w:tcPr/>
          <w:p>
            <w:pPr>
              <w:pStyle w:val="Compact"/>
            </w:pPr>
            <w:r>
              <w:t xml:space="preserve">{{5% durante 30 min; 25% durante 30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 de avanço</w:t>
            </w:r>
          </w:p>
        </w:tc>
        <w:tc>
          <w:tcPr/>
          <w:p>
            <w:pPr>
              <w:pStyle w:val="Compact"/>
            </w:pPr>
            <w:r>
              <w:t xml:space="preserve">{{Taxa de erro &lt; 0,5% e p95 dentro do normal}}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automático</w:t>
            </w:r>
          </w:p>
        </w:tc>
        <w:tc>
          <w:tcPr/>
          <w:p>
            <w:pPr>
              <w:pStyle w:val="Compact"/>
            </w:pPr>
            <w:r>
              <w:t xml:space="preserve">{{Sim — se taxa de erro &gt; 2% durante 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Migrações de BD</w:t>
            </w:r>
          </w:p>
        </w:tc>
        <w:tc>
          <w:tcPr/>
          <w:p>
            <w:pPr>
              <w:pStyle w:val="Compact"/>
            </w:pPr>
            <w:r>
              <w:t xml:space="preserve">Aplicadas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do deploy, sempre compatíveis com a versão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Funcionalidades novas desligadas por omissão; ativação independente do 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61" w:name="procedimento-de-release"/>
    <w:p>
      <w:pPr>
        <w:pStyle w:val="Heading2"/>
      </w:pPr>
      <w:r>
        <w:t xml:space="preserve">4. Procedimento de release</w:t>
      </w:r>
    </w:p>
    <w:bookmarkStart w:id="57" w:name="antes"/>
    <w:p>
      <w:pPr>
        <w:pStyle w:val="Heading3"/>
      </w:pPr>
      <w:r>
        <w:t xml:space="preserve">4.1 Antes</w:t>
      </w:r>
    </w:p>
    <w:p>
      <w:pPr>
        <w:pStyle w:val="Compact"/>
        <w:numPr>
          <w:ilvl w:val="0"/>
          <w:numId w:val="1001"/>
        </w:numPr>
      </w:pPr>
      <w:r>
        <w:t xml:space="preserve">Todos os testes verdes em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2"/>
        </w:numPr>
      </w:pPr>
      <w:r>
        <w:t xml:space="preserve">Critérios de saída do</w:t>
      </w:r>
      <w:r>
        <w:t xml:space="preserve"> </w:t>
      </w:r>
      <w:hyperlink r:id="rId55">
        <w:r>
          <w:rPr>
            <w:rStyle w:val="Hyperlink"/>
          </w:rPr>
          <w:t xml:space="preserve">Plano de Testes</w:t>
        </w:r>
      </w:hyperlink>
      <w:r>
        <w:t xml:space="preserve"> </w:t>
      </w:r>
      <w:r>
        <w:t xml:space="preserve">cumpridos</w:t>
      </w:r>
    </w:p>
    <w:p>
      <w:pPr>
        <w:pStyle w:val="Compact"/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CHANGELOG</w:t>
        </w:r>
      </w:hyperlink>
      <w:r>
        <w:t xml:space="preserve"> </w:t>
      </w:r>
      <w:r>
        <w:t xml:space="preserve">atualizado</w:t>
      </w:r>
    </w:p>
    <w:p>
      <w:pPr>
        <w:pStyle w:val="Compact"/>
        <w:numPr>
          <w:ilvl w:val="0"/>
          <w:numId w:val="1004"/>
        </w:numPr>
      </w:pPr>
      <w:r>
        <w:t xml:space="preserve">Migrações revistas e testadas em cópia com volume realista</w:t>
      </w:r>
    </w:p>
    <w:p>
      <w:pPr>
        <w:pStyle w:val="Compact"/>
        <w:numPr>
          <w:ilvl w:val="0"/>
          <w:numId w:val="1005"/>
        </w:numPr>
      </w:pPr>
      <w:r>
        <w:t xml:space="preserve">Cópia de segurança recente verificado</w:t>
      </w:r>
    </w:p>
    <w:p>
      <w:pPr>
        <w:pStyle w:val="Compact"/>
        <w:numPr>
          <w:ilvl w:val="0"/>
          <w:numId w:val="1006"/>
        </w:numPr>
      </w:pPr>
      <w:r>
        <w:t xml:space="preserve">Feature flags configuradas</w:t>
      </w:r>
    </w:p>
    <w:p>
      <w:pPr>
        <w:pStyle w:val="Compact"/>
        <w:numPr>
          <w:ilvl w:val="0"/>
          <w:numId w:val="1007"/>
        </w:numPr>
      </w:pPr>
      <w:r>
        <w:t xml:space="preserve">Documentação e notas de versão prontas</w:t>
      </w:r>
    </w:p>
    <w:p>
      <w:pPr>
        <w:pStyle w:val="Compact"/>
        <w:numPr>
          <w:ilvl w:val="0"/>
          <w:numId w:val="1008"/>
        </w:numPr>
      </w:pPr>
      <w:r>
        <w:t xml:space="preserve">Equipa de piquete informada; janela adequada (</w:t>
      </w:r>
      <w:r>
        <w:rPr>
          <w:b/>
          <w:bCs/>
        </w:rPr>
        <w:t xml:space="preserve">não</w:t>
      </w:r>
      <w:r>
        <w:t xml:space="preserve"> </w:t>
      </w:r>
      <w:r>
        <w:t xml:space="preserve">à sexta-feira à tarde)</w:t>
      </w:r>
    </w:p>
    <w:p>
      <w:pPr>
        <w:pStyle w:val="Compact"/>
        <w:numPr>
          <w:ilvl w:val="0"/>
          <w:numId w:val="1009"/>
        </w:numPr>
      </w:pPr>
      <w:r>
        <w:t xml:space="preserve">Plano de rollback confirmado</w:t>
      </w:r>
    </w:p>
    <w:bookmarkEnd w:id="57"/>
    <w:bookmarkStart w:id="58" w:name="execução"/>
    <w:p>
      <w:pPr>
        <w:pStyle w:val="Heading3"/>
      </w:pPr>
      <w:r>
        <w:t xml:space="preserve">4.2 Execução</w:t>
      </w:r>
    </w:p>
    <w:p>
      <w:pPr>
        <w:pStyle w:val="SourceCode"/>
      </w:pPr>
      <w:r>
        <w:rPr>
          <w:rStyle w:val="CommentTok"/>
        </w:rPr>
        <w:t xml:space="preserve"># 1. Criar tag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v{{1.5.0}}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{{1.5.0}}"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v{{1.5.0}}</w:t>
      </w:r>
      <w:r>
        <w:br/>
      </w:r>
      <w:r>
        <w:br/>
      </w:r>
      <w:r>
        <w:rPr>
          <w:rStyle w:val="CommentTok"/>
        </w:rPr>
        <w:t xml:space="preserve"># 2. Migrações (se aplicável)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3. Deploy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4. Verificar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de smoke test}}</w:t>
      </w:r>
    </w:p>
    <w:bookmarkEnd w:id="58"/>
    <w:bookmarkStart w:id="59" w:name="verificação-pós-deploy-primeiros-30-min"/>
    <w:p>
      <w:pPr>
        <w:pStyle w:val="Heading3"/>
      </w:pPr>
      <w:r>
        <w:t xml:space="preserve">4.3 Verificação pós-deploy (primeiros 30 min)</w:t>
      </w:r>
    </w:p>
    <w:p>
      <w:pPr>
        <w:pStyle w:val="Compact"/>
        <w:numPr>
          <w:ilvl w:val="0"/>
          <w:numId w:val="1010"/>
        </w:numPr>
      </w:pPr>
      <w:r>
        <w:t xml:space="preserve">Endpoint de saúde responde 200</w:t>
      </w:r>
    </w:p>
    <w:p>
      <w:pPr>
        <w:pStyle w:val="Compact"/>
        <w:numPr>
          <w:ilvl w:val="0"/>
          <w:numId w:val="1011"/>
        </w:numPr>
      </w:pPr>
      <w:r>
        <w:t xml:space="preserve">Testes de fumo passam em produção</w:t>
      </w:r>
    </w:p>
    <w:p>
      <w:pPr>
        <w:pStyle w:val="Compact"/>
        <w:numPr>
          <w:ilvl w:val="0"/>
          <w:numId w:val="1012"/>
        </w:numPr>
      </w:pPr>
      <w:r>
        <w:t xml:space="preserve">Taxa de erro dentro do normal</w:t>
      </w:r>
    </w:p>
    <w:p>
      <w:pPr>
        <w:pStyle w:val="Compact"/>
        <w:numPr>
          <w:ilvl w:val="0"/>
          <w:numId w:val="1013"/>
        </w:numPr>
      </w:pPr>
      <w:r>
        <w:t xml:space="preserve">Latência p95 dentro do normal</w:t>
      </w:r>
    </w:p>
    <w:p>
      <w:pPr>
        <w:pStyle w:val="Compact"/>
        <w:numPr>
          <w:ilvl w:val="0"/>
          <w:numId w:val="1014"/>
        </w:numPr>
      </w:pPr>
      <w:r>
        <w:t xml:space="preserve">Sem picos de erros nos registos</w:t>
      </w:r>
    </w:p>
    <w:p>
      <w:pPr>
        <w:pStyle w:val="Compact"/>
        <w:numPr>
          <w:ilvl w:val="0"/>
          <w:numId w:val="1015"/>
        </w:numPr>
      </w:pPr>
      <w:r>
        <w:t xml:space="preserve">Fila de mensagens a ser consumida (sem acumulação)</w:t>
      </w:r>
    </w:p>
    <w:p>
      <w:pPr>
        <w:pStyle w:val="Compact"/>
        <w:numPr>
          <w:ilvl w:val="0"/>
          <w:numId w:val="1016"/>
        </w:numPr>
      </w:pPr>
      <w:r>
        <w:t xml:space="preserve">Percurso crítico verificado manualmente</w:t>
      </w:r>
    </w:p>
    <w:p>
      <w:pPr>
        <w:pStyle w:val="Compact"/>
        <w:numPr>
          <w:ilvl w:val="0"/>
          <w:numId w:val="1017"/>
        </w:numPr>
      </w:pPr>
      <w:r>
        <w:t xml:space="preserve">Métricas de negócio normais ({{encomendas/hora}})</w:t>
      </w:r>
    </w:p>
    <w:bookmarkEnd w:id="59"/>
    <w:bookmarkStart w:id="60" w:name="depois"/>
    <w:p>
      <w:pPr>
        <w:pStyle w:val="Heading3"/>
      </w:pPr>
      <w:r>
        <w:t xml:space="preserve">4.4 Depois</w:t>
      </w:r>
    </w:p>
    <w:p>
      <w:pPr>
        <w:pStyle w:val="Compact"/>
        <w:numPr>
          <w:ilvl w:val="0"/>
          <w:numId w:val="1018"/>
        </w:numPr>
      </w:pPr>
      <w:r>
        <w:t xml:space="preserve">Comunicar em {{canal}}</w:t>
      </w:r>
    </w:p>
    <w:p>
      <w:pPr>
        <w:pStyle w:val="Compact"/>
        <w:numPr>
          <w:ilvl w:val="0"/>
          <w:numId w:val="1019"/>
        </w:numPr>
      </w:pPr>
      <w:r>
        <w:t xml:space="preserve">Atualizar o quadro de tarefas</w:t>
      </w:r>
    </w:p>
    <w:p>
      <w:pPr>
        <w:pStyle w:val="Compact"/>
        <w:numPr>
          <w:ilvl w:val="0"/>
          <w:numId w:val="1020"/>
        </w:numPr>
      </w:pPr>
      <w:r>
        <w:t xml:space="preserve">Notas de versão publicadas</w:t>
      </w:r>
    </w:p>
    <w:p>
      <w:pPr>
        <w:pStyle w:val="Compact"/>
        <w:numPr>
          <w:ilvl w:val="0"/>
          <w:numId w:val="1021"/>
        </w:numPr>
      </w:pPr>
      <w:r>
        <w:t xml:space="preserve">Monitorização reforçada durante {{24 h}}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rollback"/>
    <w:p>
      <w:pPr>
        <w:pStyle w:val="Heading2"/>
      </w:pPr>
      <w:r>
        <w:t xml:space="preserve">5. Rollback</w:t>
      </w:r>
    </w:p>
    <w:bookmarkStart w:id="62" w:name="quando-reverter"/>
    <w:p>
      <w:pPr>
        <w:pStyle w:val="Heading3"/>
      </w:pPr>
      <w:r>
        <w:t xml:space="preserve">Quando reverter</w:t>
      </w:r>
    </w:p>
    <w:p>
      <w:pPr>
        <w:pStyle w:val="Compact"/>
        <w:numPr>
          <w:ilvl w:val="0"/>
          <w:numId w:val="1022"/>
        </w:numPr>
      </w:pPr>
      <w:r>
        <w:t xml:space="preserve">Taxa de erro &gt; {{2%}}</w:t>
      </w:r>
    </w:p>
    <w:p>
      <w:pPr>
        <w:pStyle w:val="Compact"/>
        <w:numPr>
          <w:ilvl w:val="0"/>
          <w:numId w:val="1022"/>
        </w:numPr>
      </w:pPr>
      <w:r>
        <w:t xml:space="preserve">Latência p95 &gt; {{2×}} o normal</w:t>
      </w:r>
    </w:p>
    <w:p>
      <w:pPr>
        <w:pStyle w:val="Compact"/>
        <w:numPr>
          <w:ilvl w:val="0"/>
          <w:numId w:val="1022"/>
        </w:numPr>
      </w:pPr>
      <w:r>
        <w:t xml:space="preserve">Perda ou corrupção de dados (</w:t>
      </w:r>
      <w:r>
        <w:rPr>
          <w:b/>
          <w:bCs/>
        </w:rPr>
        <w:t xml:space="preserve">imediato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Funcionalidade crítica indisponível</w:t>
      </w:r>
    </w:p>
    <w:p>
      <w:pPr>
        <w:pStyle w:val="BlockText"/>
      </w:pPr>
      <w:r>
        <w:rPr>
          <w:b/>
          <w:bCs/>
        </w:rPr>
        <w:t xml:space="preserve">Reverter primeiro, investigar depois.</w:t>
      </w:r>
      <w:r>
        <w:t xml:space="preserve"> </w:t>
      </w:r>
      <w:r>
        <w:t xml:space="preserve">Restabelecer o serviço tem prioridade sobre entender a causa.</w:t>
      </w:r>
    </w:p>
    <w:bookmarkEnd w:id="62"/>
    <w:bookmarkStart w:id="63" w:name="como"/>
    <w:p>
      <w:pPr>
        <w:pStyle w:val="Heading3"/>
      </w:pPr>
      <w:r>
        <w:t xml:space="preserve">Como</w:t>
      </w:r>
    </w:p>
    <w:p>
      <w:pPr>
        <w:pStyle w:val="SourceCode"/>
      </w:pPr>
      <w:r>
        <w:rPr>
          <w:rStyle w:val="CommentTok"/>
        </w:rPr>
        <w:t xml:space="preserve"># Opção 1 (preferida): desligar a feature flag — segundos, sem deploy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Opção 2: reverter para a versão anterior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Opção 3: reverter migração de BD (último recurso)</w:t>
      </w:r>
      <w:r>
        <w:br/>
      </w:r>
      <w:r>
        <w:rPr>
          <w:rStyle w:val="ExtensionTok"/>
        </w:rPr>
        <w:t xml:space="preserve">{{comando}}</w:t>
      </w:r>
    </w:p>
    <w:p>
      <w:pPr>
        <w:pStyle w:val="FirstParagraph"/>
      </w:pPr>
      <w:r>
        <w:rPr>
          <w:b/>
          <w:bCs/>
        </w:rPr>
        <w:t xml:space="preserve">Tempo alvo de rollback:</w:t>
      </w:r>
      <w:r>
        <w:t xml:space="preserve"> </w:t>
      </w:r>
      <w:r>
        <w:t xml:space="preserve">{{≤ 5 min}}</w:t>
      </w:r>
    </w:p>
    <w:bookmarkEnd w:id="63"/>
    <w:bookmarkStart w:id="64" w:name="migrações-não-reversíveis"/>
    <w:p>
      <w:pPr>
        <w:pStyle w:val="Heading3"/>
      </w:pPr>
      <w:r>
        <w:t xml:space="preserve">Migrações não reversíveis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Coluna removida</w:t>
            </w:r>
          </w:p>
        </w:tc>
        <w:tc>
          <w:tcPr/>
          <w:p>
            <w:pPr>
              <w:pStyle w:val="Compact"/>
            </w:pPr>
            <w:r>
              <w:t xml:space="preserve">Nunca remover no mesmo release — usar Expand/Contract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transformados</w:t>
            </w:r>
          </w:p>
        </w:tc>
        <w:tc>
          <w:tcPr/>
          <w:p>
            <w:pPr>
              <w:pStyle w:val="Compact"/>
            </w:pPr>
            <w:r>
              <w:t xml:space="preserve">Manter cópia original durante {{7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alterado</w:t>
            </w:r>
          </w:p>
        </w:tc>
        <w:tc>
          <w:tcPr/>
          <w:p>
            <w:pPr>
              <w:pStyle w:val="Compact"/>
            </w:pPr>
            <w:r>
              <w:t xml:space="preserve">Nova coluna + escrita dupla; só remover a antiga um release depois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7" w:name="configuração-e-segredos"/>
    <w:p>
      <w:pPr>
        <w:pStyle w:val="Heading2"/>
      </w:pPr>
      <w:r>
        <w:t xml:space="preserve">6. Configuração e segredos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Variáveis de ambiente;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no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Segredos</w:t>
            </w:r>
          </w:p>
        </w:tc>
        <w:tc>
          <w:tcPr/>
          <w:p>
            <w:pPr>
              <w:pStyle w:val="Compact"/>
            </w:pPr>
            <w:r>
              <w:t xml:space="preserve">{{Cofre X}}; injetados em execução; nunca em imagens nem em registos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{{90 dias}} para credenciais de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Alterações de configuração</w:t>
            </w:r>
          </w:p>
        </w:tc>
        <w:tc>
          <w:tcPr/>
          <w:p>
            <w:pPr>
              <w:pStyle w:val="Compact"/>
            </w:pPr>
            <w:r>
              <w:t xml:space="preserve">Versionadas, revistas em PR, auditáveis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{{Serviço X}}; cada flag com dono e data de remoção — ver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Gestão de Feature Flags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Dívida de flags:</w:t>
      </w:r>
      <w:r>
        <w:t xml:space="preserve"> </w:t>
      </w:r>
      <w:r>
        <w:t xml:space="preserve">uma flag permanente é dívida técnica. Remover ≤ {{2 releases}} após 100%.</w:t>
      </w:r>
    </w:p>
    <w:p>
      <w:r>
        <w:pict>
          <v:rect style="width:0;height:1.5pt" o:hralign="center" o:hrstd="t" o:hr="t"/>
        </w:pict>
      </w:r>
    </w:p>
    <w:bookmarkEnd w:id="67"/>
    <w:bookmarkStart w:id="68" w:name="infraestrutura-como-código"/>
    <w:p>
      <w:pPr>
        <w:pStyle w:val="Heading2"/>
      </w:pPr>
      <w:r>
        <w:t xml:space="preserve">7. Infraestrutura como código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{{Terraform / Pulumi}}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{{backend remoto com bloqueio}}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{{Via pipeline;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manual proibido em produção}}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 (drift)</w:t>
            </w:r>
          </w:p>
        </w:tc>
        <w:tc>
          <w:tcPr/>
          <w:p>
            <w:pPr>
              <w:pStyle w:val="Compact"/>
            </w:pPr>
            <w:r>
              <w:t xml:space="preserve">{{Verificação diária; alerta se detetada}}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calendário-e-restrições"/>
    <w:p>
      <w:pPr>
        <w:pStyle w:val="Heading2"/>
      </w:pPr>
      <w:r>
        <w:t xml:space="preserve">8. Calendário e restrições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Janela normal</w:t>
            </w:r>
          </w:p>
        </w:tc>
        <w:tc>
          <w:tcPr/>
          <w:p>
            <w:pPr>
              <w:pStyle w:val="Compact"/>
            </w:pPr>
            <w:r>
              <w:t xml:space="preserve">{{Terça a quinta, 10:00–16:00}}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Congelamento</w:t>
            </w:r>
          </w:p>
        </w:tc>
        <w:tc>
          <w:tcPr/>
          <w:p>
            <w:pPr>
              <w:pStyle w:val="Compact"/>
            </w:pPr>
            <w:r>
              <w:t xml:space="preserve">{{Última semana do ano fiscal; {{épocas de pico}}}}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Correções urgentes</w:t>
            </w:r>
          </w:p>
        </w:tc>
        <w:tc>
          <w:tcPr/>
          <w:p>
            <w:pPr>
              <w:pStyle w:val="Compact"/>
            </w:pPr>
            <w:r>
              <w:t xml:space="preserve">Permitidas a qualquer momento com aprovação de 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 alvo</w:t>
            </w:r>
          </w:p>
        </w:tc>
        <w:tc>
          <w:tcPr/>
          <w:p>
            <w:pPr>
              <w:pStyle w:val="Compact"/>
            </w:pPr>
            <w:r>
              <w:t xml:space="preserve">{{Diária para staging; várias por semana para produção}}</w:t>
            </w:r>
          </w:p>
        </w:tc>
      </w:tr>
    </w:tbl>
    <w:bookmarkEnd w:id="69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hyperlink" Id="rId55" Target="../05-qualidade/01-plano-testes.md" TargetMode="External" /><Relationship Type="http://schemas.openxmlformats.org/officeDocument/2006/relationships/hyperlink" Id="rId56" Target="../08-utilizador/03-registo-de-alteracoes.md" TargetMode="External" /><Relationship Type="http://schemas.openxmlformats.org/officeDocument/2006/relationships/hyperlink" Id="rId66" Target="09-gestao-de-feature-flag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05-qualidade/01-plano-testes.md" TargetMode="External" /><Relationship Type="http://schemas.openxmlformats.org/officeDocument/2006/relationships/hyperlink" Id="rId56" Target="../08-utilizador/03-registo-de-alteracoes.md" TargetMode="External" /><Relationship Type="http://schemas.openxmlformats.org/officeDocument/2006/relationships/hyperlink" Id="rId66" Target="09-gestao-de-feature-flag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Implantação — {{PROJETO}}</dc:title>
  <dc:creator/>
  <dc:language>pt-PT</dc:language>
  <cp:keywords/>
  <dcterms:created xsi:type="dcterms:W3CDTF">2026-08-24T15:59:27Z</dcterms:created>
  <dcterms:modified xsi:type="dcterms:W3CDTF">2026-08-24T15:59:27Z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