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Acordo de Nível de Serviço (SLA)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{{AAAA-MM-DD}} a {{AAAA-MM-DD}} ·</w:t>
      </w:r>
      <w:r>
        <w:t xml:space="preserve"> </w:t>
      </w:r>
      <w:r>
        <w:rPr>
          <w:b/>
          <w:bCs/>
        </w:rPr>
        <w:t xml:space="preserve">Partes:</w:t>
      </w:r>
      <w:r>
        <w:t xml:space="preserve"> </w:t>
      </w:r>
      <w:r>
        <w:t xml:space="preserve">{{fornecedor}} e {{cliente/área}}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{{anual}}</w:t>
      </w:r>
    </w:p>
    <w:p>
      <w:r>
        <w:pict>
          <v:rect style="width:0;height:1.5pt" o:hralign="center" o:hrstd="t" o:hr="t"/>
        </w:pict>
      </w:r>
    </w:p>
    <w:bookmarkStart w:id="50" w:name="sla-slo-e-sli-não-são-a-mesma-coisa"/>
    <w:p>
      <w:pPr>
        <w:pStyle w:val="Heading2"/>
      </w:pPr>
      <w:r>
        <w:t xml:space="preserve">1. SLA, SLO e SLI — não são a mesma coisa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Onde vive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O que se mede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Monitorização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O objetivo interno, mais exigente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Monitorização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O compromisso com quem usa, com consequência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documento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O SLO é sempre mais apertado que o SLA.</w:t>
      </w:r>
      <w:r>
        <w:t xml:space="preserve"> </w:t>
      </w:r>
      <w:r>
        <w:t xml:space="preserve">Se forem iguais, qualquer falha</w:t>
      </w:r>
      <w:r>
        <w:t xml:space="preserve"> </w:t>
      </w:r>
      <w:r>
        <w:t xml:space="preserve">técnica é imediatamente um incumprimento contratual e não há margem para</w:t>
      </w:r>
      <w:r>
        <w:t xml:space="preserve"> </w:t>
      </w:r>
      <w:r>
        <w:t xml:space="preserve">reagir antes disso.</w:t>
      </w:r>
    </w:p>
    <w:p>
      <w:r>
        <w:pict>
          <v:rect style="width:0;height:1.5pt" o:hralign="center" o:hrstd="t" o:hr="t"/>
        </w:pict>
      </w:r>
    </w:p>
    <w:bookmarkEnd w:id="50"/>
    <w:bookmarkStart w:id="51" w:name="serviço-abrangido"/>
    <w:p>
      <w:pPr>
        <w:pStyle w:val="Heading2"/>
      </w:pPr>
      <w:r>
        <w:t xml:space="preserve">2. Serviço abrangido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Abrangido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{{Aplicação web}}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{{API}}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{{Relatórios mensais}}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{{Não — melhor esforço}}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Utilizadores abrangidos: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Horário de serviço:</w:t>
      </w:r>
      <w:r>
        <w:t xml:space="preserve"> </w:t>
      </w:r>
      <w:r>
        <w:t xml:space="preserve">{{dias úteis 08:00–19:00}}</w:t>
      </w:r>
    </w:p>
    <w:p>
      <w:r>
        <w:pict>
          <v:rect style="width:0;height:1.5pt" o:hralign="center" o:hrstd="t" o:hr="t"/>
        </w:pict>
      </w:r>
    </w:p>
    <w:bookmarkEnd w:id="51"/>
    <w:bookmarkStart w:id="53" w:name="compromissos"/>
    <w:p>
      <w:pPr>
        <w:pStyle w:val="Heading2"/>
      </w:pPr>
      <w:r>
        <w:t xml:space="preserve">3. Compromissos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Como se mede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{{99,5%}}</w:t>
            </w:r>
          </w:p>
        </w:tc>
        <w:tc>
          <w:tcPr/>
          <w:p>
            <w:pPr>
              <w:pStyle w:val="Compact"/>
            </w:pPr>
            <w:r>
              <w:t xml:space="preserve">{{Pedidos com sucesso / total, em horário de serviço}}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Tempo de resposta</w:t>
            </w:r>
          </w:p>
        </w:tc>
        <w:tc>
          <w:tcPr/>
          <w:p>
            <w:pPr>
              <w:pStyle w:val="Compact"/>
            </w:pPr>
            <w:r>
              <w:t xml:space="preserve">{{p95 &lt; 2 s}}</w:t>
            </w:r>
          </w:p>
        </w:tc>
        <w:tc>
          <w:tcPr/>
          <w:p>
            <w:pPr>
              <w:pStyle w:val="Compact"/>
            </w:pPr>
            <w:r>
              <w:t xml:space="preserve">{{Do lado do servidor}}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Primeira resposta a incidente G1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{{Do registo à resposta}}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Resolução de incidente G1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Perda máxima de dados (RPO)</w:t>
            </w:r>
          </w:p>
        </w:tc>
        <w:tc>
          <w:tcPr/>
          <w:p>
            <w:pPr>
              <w:pStyle w:val="Compact"/>
            </w:pPr>
            <w:r>
              <w:t xml:space="preserve">{{1 h}}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52">
              <w:r>
                <w:rPr>
                  <w:rStyle w:val="Hyperlink"/>
                </w:rPr>
                <w:t xml:space="preserve">Cópia de segurança e DR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Tempo de reposição (RTO)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Tradução de 99,5%:</w:t>
      </w:r>
      <w:r>
        <w:t xml:space="preserve"> </w:t>
      </w:r>
      <w:r>
        <w:t xml:space="preserve">{{~3,6 h}} de indisponibilidade por mês. Escrever a</w:t>
      </w:r>
      <w:r>
        <w:t xml:space="preserve"> </w:t>
      </w:r>
      <w:r>
        <w:t xml:space="preserve">tradução ao lado da percentagem — quase ninguém a faz de cabeça, e é aí que as</w:t>
      </w:r>
      <w:r>
        <w:t xml:space="preserve"> </w:t>
      </w:r>
      <w:r>
        <w:t xml:space="preserve">expectativas se desalinham.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Indisponibilidade/mês</w:t>
            </w:r>
          </w:p>
        </w:tc>
        <w:tc>
          <w:tcPr/>
          <w:p>
            <w:pPr>
              <w:pStyle w:val="Compact"/>
            </w:pPr>
            <w:r>
              <w:t xml:space="preserve">Indisponibilidade/ano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7,2 h</w:t>
            </w:r>
          </w:p>
        </w:tc>
        <w:tc>
          <w:tcPr/>
          <w:p>
            <w:pPr>
              <w:pStyle w:val="Compact"/>
            </w:pPr>
            <w:r>
              <w:t xml:space="preserve">3,65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99,5%</w:t>
            </w:r>
          </w:p>
        </w:tc>
        <w:tc>
          <w:tcPr/>
          <w:p>
            <w:pPr>
              <w:pStyle w:val="Compact"/>
            </w:pPr>
            <w:r>
              <w:t xml:space="preserve">3,6 h</w:t>
            </w:r>
          </w:p>
        </w:tc>
        <w:tc>
          <w:tcPr/>
          <w:p>
            <w:pPr>
              <w:pStyle w:val="Compact"/>
            </w:pPr>
            <w:r>
              <w:t xml:space="preserve">1,83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99,9%</w:t>
            </w:r>
          </w:p>
        </w:tc>
        <w:tc>
          <w:tcPr/>
          <w:p>
            <w:pPr>
              <w:pStyle w:val="Compact"/>
            </w:pPr>
            <w:r>
              <w:t xml:space="preserve">43 min</w:t>
            </w:r>
          </w:p>
        </w:tc>
        <w:tc>
          <w:tcPr/>
          <w:p>
            <w:pPr>
              <w:pStyle w:val="Compact"/>
            </w:pPr>
            <w:r>
              <w:t xml:space="preserve">8,8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99,99%</w:t>
            </w:r>
          </w:p>
        </w:tc>
        <w:tc>
          <w:tcPr/>
          <w:p>
            <w:pPr>
              <w:pStyle w:val="Compact"/>
            </w:pPr>
            <w:r>
              <w:t xml:space="preserve">4,3 min</w:t>
            </w:r>
          </w:p>
        </w:tc>
        <w:tc>
          <w:tcPr/>
          <w:p>
            <w:pPr>
              <w:pStyle w:val="Compact"/>
            </w:pPr>
            <w:r>
              <w:t xml:space="preserve">53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gravidades-e-tempos"/>
    <w:p>
      <w:pPr>
        <w:pStyle w:val="Heading2"/>
      </w:pPr>
      <w:r>
        <w:t xml:space="preserve">4. Gravidades e tempos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1.ª resposta</w:t>
            </w:r>
          </w:p>
        </w:tc>
        <w:tc>
          <w:tcPr/>
          <w:p>
            <w:pPr>
              <w:pStyle w:val="Compact"/>
            </w:pPr>
            <w:r>
              <w:t xml:space="preserve">Resolução</w:t>
            </w:r>
          </w:p>
        </w:tc>
        <w:tc>
          <w:tcPr/>
          <w:p>
            <w:pPr>
              <w:pStyle w:val="Compact"/>
            </w:pPr>
            <w:r>
              <w:t xml:space="preserve">Como se comunica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Crítico</w:t>
            </w:r>
          </w:p>
        </w:tc>
        <w:tc>
          <w:tcPr/>
          <w:p>
            <w:pPr>
              <w:pStyle w:val="Compact"/>
            </w:pPr>
            <w:r>
              <w:t xml:space="preserve">Serviço parado ou dados em risco</w:t>
            </w:r>
          </w:p>
        </w:tc>
        <w:tc>
          <w:tcPr/>
          <w:p>
            <w:pPr>
              <w:pStyle w:val="Compact"/>
            </w:pPr>
            <w:r>
              <w:t xml:space="preserve">{{Ninguém entra}}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{{Telefone + 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Alto</w:t>
            </w:r>
          </w:p>
        </w:tc>
        <w:tc>
          <w:tcPr/>
          <w:p>
            <w:pPr>
              <w:pStyle w:val="Compact"/>
            </w:pPr>
            <w:r>
              <w:t xml:space="preserve">Funcionalidade principal indisponível, com contorno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  <w:tc>
          <w:tcPr/>
          <w:p>
            <w:pPr>
              <w:pStyle w:val="Compact"/>
            </w:pPr>
            <w:r>
              <w:t xml:space="preserve">{{E-mail}}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Médio</w:t>
            </w:r>
          </w:p>
        </w:tc>
        <w:tc>
          <w:tcPr/>
          <w:p>
            <w:pPr>
              <w:pStyle w:val="Compact"/>
            </w:pPr>
            <w:r>
              <w:t xml:space="preserve">Funcionalidade secundária afetada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  <w:tc>
          <w:tcPr/>
          <w:p>
            <w:pPr>
              <w:pStyle w:val="Compact"/>
            </w:pPr>
            <w:r>
              <w:t xml:space="preserve">{{5 dias úteis}}</w:t>
            </w:r>
          </w:p>
        </w:tc>
        <w:tc>
          <w:tcPr/>
          <w:p>
            <w:pPr>
              <w:pStyle w:val="Compact"/>
            </w:pPr>
            <w:r>
              <w:t xml:space="preserve">{{Sistema de tickets}}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Baixo</w:t>
            </w:r>
          </w:p>
        </w:tc>
        <w:tc>
          <w:tcPr/>
          <w:p>
            <w:pPr>
              <w:pStyle w:val="Compact"/>
            </w:pPr>
            <w:r>
              <w:t xml:space="preserve">Cosmético ou pedido de melhoria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{{3 dias úteis}}</w:t>
            </w:r>
          </w:p>
        </w:tc>
        <w:tc>
          <w:tcPr/>
          <w:p>
            <w:pPr>
              <w:pStyle w:val="Compact"/>
            </w:pPr>
            <w:r>
              <w:t xml:space="preserve">{{Planeado}}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Quem classifica a gravidade:</w:t>
      </w:r>
      <w:r>
        <w:t xml:space="preserve"> </w:t>
      </w:r>
      <w:r>
        <w:t xml:space="preserve">{{…}}. Em desacordo, prevalece {{a</w:t>
      </w:r>
      <w:r>
        <w:t xml:space="preserve"> </w:t>
      </w:r>
      <w:r>
        <w:t xml:space="preserve">classificação mais alta até haver acordo}}.</w:t>
      </w:r>
    </w:p>
    <w:p>
      <w:r>
        <w:pict>
          <v:rect style="width:0;height:1.5pt" o:hralign="center" o:hrstd="t" o:hr="t"/>
        </w:pict>
      </w:r>
    </w:p>
    <w:bookmarkEnd w:id="54"/>
    <w:bookmarkStart w:id="55" w:name="o-que-não-conta-como-indisponibilidade"/>
    <w:p>
      <w:pPr>
        <w:pStyle w:val="Heading2"/>
      </w:pPr>
      <w:r>
        <w:t xml:space="preserve">5. O que não conta como indisponibilidade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Exclusão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Manutenção programada</w:t>
            </w:r>
          </w:p>
        </w:tc>
        <w:tc>
          <w:tcPr/>
          <w:p>
            <w:pPr>
              <w:pStyle w:val="Compact"/>
            </w:pPr>
            <w:r>
              <w:t xml:space="preserve">Avisada com {{5 dias úteis}}; fora do horário de serviço; máx. {{4 h/mês}}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de infraestrutura do cliente</w:t>
            </w:r>
          </w:p>
        </w:tc>
        <w:tc>
          <w:tcPr/>
          <w:p>
            <w:pPr>
              <w:pStyle w:val="Compact"/>
            </w:pPr>
            <w:r>
              <w:t xml:space="preserve">{{Rede interna, postos de trabalho}}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fora do previsto</w:t>
            </w:r>
          </w:p>
        </w:tc>
        <w:tc>
          <w:tcPr/>
          <w:p>
            <w:pPr>
              <w:pStyle w:val="Compact"/>
            </w:pPr>
            <w:r>
              <w:t xml:space="preserve">{{Volume acima de {{X}}, integração não acordada}}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Força maior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Indisponibilidade de terceiros</w:t>
            </w:r>
          </w:p>
        </w:tc>
        <w:tc>
          <w:tcPr/>
          <w:p>
            <w:pPr>
              <w:pStyle w:val="Compact"/>
            </w:pPr>
            <w:r>
              <w:t xml:space="preserve">{{Só as listadas em §7}}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 esta secção o SLA não é cumprível</w:t>
      </w:r>
      <w:r>
        <w:t xml:space="preserve">, porque passa a cobrir coisas que não</w:t>
      </w:r>
      <w:r>
        <w:t xml:space="preserve"> </w:t>
      </w:r>
      <w:r>
        <w:t xml:space="preserve">estão sob controlo de quem o assina.</w:t>
      </w:r>
    </w:p>
    <w:p>
      <w:r>
        <w:pict>
          <v:rect style="width:0;height:1.5pt" o:hralign="center" o:hrstd="t" o:hr="t"/>
        </w:pict>
      </w:r>
    </w:p>
    <w:bookmarkEnd w:id="55"/>
    <w:bookmarkStart w:id="56" w:name="incumprimento"/>
    <w:p>
      <w:pPr>
        <w:pStyle w:val="Heading2"/>
      </w:pPr>
      <w:r>
        <w:t xml:space="preserve">6. Incumprimento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1.º mês abaixo</w:t>
            </w:r>
          </w:p>
        </w:tc>
        <w:tc>
          <w:tcPr/>
          <w:p>
            <w:pPr>
              <w:pStyle w:val="Compact"/>
            </w:pPr>
            <w:r>
              <w:t xml:space="preserve">{{Relatório de causa raiz em 5 dias úteis}}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2.º mês consecutivo</w:t>
            </w:r>
          </w:p>
        </w:tc>
        <w:tc>
          <w:tcPr/>
          <w:p>
            <w:pPr>
              <w:pStyle w:val="Compact"/>
            </w:pPr>
            <w:r>
              <w:t xml:space="preserve">{{Plano de correção com datas}}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3.º mês consecutivo</w:t>
            </w:r>
          </w:p>
        </w:tc>
        <w:tc>
          <w:tcPr/>
          <w:p>
            <w:pPr>
              <w:pStyle w:val="Compact"/>
            </w:pPr>
            <w:r>
              <w:t xml:space="preserve">{{{{revisão do acordo / penalização / escalada}}}}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ependências-de-terceiros"/>
    <w:p>
      <w:pPr>
        <w:pStyle w:val="Heading2"/>
      </w:pPr>
      <w:r>
        <w:t xml:space="preserve">7. Dependências de terceiros</w:t>
      </w:r>
    </w:p>
    <w:p>
      <w:pPr>
        <w:pStyle w:val="FirstParagraph"/>
      </w:pPr>
      <w:r>
        <w:t xml:space="preserve">O serviço não pode ser mais fiável do que aquilo de que depende.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Terceiro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SLA deles</w:t>
            </w:r>
          </w:p>
        </w:tc>
        <w:tc>
          <w:tcPr/>
          <w:p>
            <w:pPr>
              <w:pStyle w:val="Compact"/>
            </w:pPr>
            <w:r>
              <w:t xml:space="preserve">Efeito se falhar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{{99,9%}}</w:t>
            </w:r>
          </w:p>
        </w:tc>
        <w:tc>
          <w:tcPr/>
          <w:p>
            <w:pPr>
              <w:pStyle w:val="Compact"/>
            </w:pPr>
            <w:r>
              <w:t xml:space="preserve">{{Serviço parado}}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{{Autenticação}}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{{Ninguém entra}}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Disponibilidade máxima teórica:</w:t>
      </w:r>
      <w:r>
        <w:t xml:space="preserve"> </w:t>
      </w:r>
      <w:r>
        <w:t xml:space="preserve">produto dos SLA das dependências em série.</w:t>
      </w:r>
      <w:r>
        <w:t xml:space="preserve"> </w:t>
      </w:r>
      <w:r>
        <w:t xml:space="preserve">{{99,9% × 99,9% = 99,8%}} — prometer mais do que isto é prometer o que não se controla.</w:t>
      </w:r>
    </w:p>
    <w:p>
      <w:r>
        <w:pict>
          <v:rect style="width:0;height:1.5pt" o:hralign="center" o:hrstd="t" o:hr="t"/>
        </w:pict>
      </w:r>
    </w:p>
    <w:bookmarkEnd w:id="57"/>
    <w:bookmarkStart w:id="58" w:name="relatório"/>
    <w:p>
      <w:pPr>
        <w:pStyle w:val="Heading2"/>
      </w:pPr>
      <w:r>
        <w:t xml:space="preserve">8. Relatório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e tempos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 G1/G2 com causa raiz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do acordo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04-monitorizacao.md" TargetMode="External" /><Relationship Type="http://schemas.openxmlformats.org/officeDocument/2006/relationships/hyperlink" Id="rId52" Target="05-copias-de-seguranca-e-recupe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04-monitorizacao.md" TargetMode="External" /><Relationship Type="http://schemas.openxmlformats.org/officeDocument/2006/relationships/hyperlink" Id="rId52" Target="05-copias-de-seguranca-e-recupe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Nível de Serviço (SLA) — {{PROJETO}}</dc:title>
  <dc:creator/>
  <dc:language>pt-PT</dc:language>
  <cp:keywords/>
  <dcterms:created xsi:type="dcterms:W3CDTF">2026-08-24T15:59:28Z</dcterms:created>
  <dcterms:modified xsi:type="dcterms:W3CDTF">2026-08-24T15:59:28Z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